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E8C04">
      <w:pPr>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试题</w:t>
      </w:r>
      <w:r>
        <w:rPr>
          <w:rFonts w:hint="eastAsia" w:ascii="宋体" w:hAnsi="宋体" w:eastAsia="宋体" w:cs="宋体"/>
          <w:b/>
          <w:bCs/>
          <w:color w:val="auto"/>
          <w:sz w:val="21"/>
          <w:szCs w:val="21"/>
        </w:rPr>
        <w:t>4</w:t>
      </w:r>
    </w:p>
    <w:p w14:paraId="2C2DB0F6">
      <w:pPr>
        <w:spacing w:line="360" w:lineRule="auto"/>
        <w:rPr>
          <w:rFonts w:hint="eastAsia" w:ascii="宋体" w:hAnsi="宋体" w:eastAsia="宋体" w:cs="宋体"/>
          <w:b/>
          <w:bCs/>
          <w:color w:val="auto"/>
          <w:sz w:val="21"/>
          <w:szCs w:val="21"/>
          <w:highlight w:val="none"/>
        </w:rPr>
      </w:pPr>
      <w:bookmarkStart w:id="0" w:name="_GoBack"/>
      <w:r>
        <w:rPr>
          <w:rFonts w:hint="eastAsia" w:ascii="宋体" w:hAnsi="宋体" w:eastAsia="宋体" w:cs="宋体"/>
          <w:b/>
          <w:bCs/>
          <w:color w:val="auto"/>
          <w:sz w:val="21"/>
          <w:szCs w:val="21"/>
          <w:highlight w:val="none"/>
        </w:rPr>
        <w:t>一</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单选题</w:t>
      </w:r>
    </w:p>
    <w:p w14:paraId="104E1E9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药物半衰期长短主要取决于</w:t>
      </w:r>
    </w:p>
    <w:p w14:paraId="595949C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吸收速度 </w:t>
      </w:r>
    </w:p>
    <w:p w14:paraId="4CF98D3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消除速度 </w:t>
      </w:r>
    </w:p>
    <w:p w14:paraId="7B49481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血浆蛋白结合率 </w:t>
      </w:r>
    </w:p>
    <w:p w14:paraId="4DB35BED">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剂量大小 </w:t>
      </w:r>
    </w:p>
    <w:p w14:paraId="10282A62">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给药途径 </w:t>
      </w:r>
    </w:p>
    <w:p w14:paraId="32467D53">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治疗指数是指</w:t>
      </w:r>
    </w:p>
    <w:p w14:paraId="583338A2">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LD50/ED50的比值 </w:t>
      </w:r>
    </w:p>
    <w:p w14:paraId="7DF04A8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ED50/LD50的比值 </w:t>
      </w:r>
    </w:p>
    <w:p w14:paraId="7E69EFA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ED95/LD5的比值 </w:t>
      </w:r>
    </w:p>
    <w:p w14:paraId="1EFB220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ED90/LD10的比值 </w:t>
      </w:r>
    </w:p>
    <w:p w14:paraId="395EA65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LD95/ED5的比值 </w:t>
      </w:r>
    </w:p>
    <w:p w14:paraId="7F83F9B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药物的安全范围是指</w:t>
      </w:r>
    </w:p>
    <w:p w14:paraId="5EC21B0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LD50/ED50 </w:t>
      </w:r>
    </w:p>
    <w:p w14:paraId="5780BC1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LD50 </w:t>
      </w:r>
    </w:p>
    <w:p w14:paraId="6A522C33">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ED50 </w:t>
      </w:r>
    </w:p>
    <w:p w14:paraId="54D38F08">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ED95与 LD5之间的距离 </w:t>
      </w:r>
    </w:p>
    <w:p w14:paraId="5F844ABD">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LD95 与ED5之间的距离 </w:t>
      </w:r>
    </w:p>
    <w:p w14:paraId="733B3728">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以半衰期为间隔恒量给药时,血中药物浓度可达到坪值需要的给药次数是</w:t>
      </w:r>
    </w:p>
    <w:p w14:paraId="3B7D84F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1次 </w:t>
      </w:r>
    </w:p>
    <w:p w14:paraId="66A1C4D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3次 </w:t>
      </w:r>
    </w:p>
    <w:p w14:paraId="409D7F3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5次 </w:t>
      </w:r>
    </w:p>
    <w:p w14:paraId="0AD7D12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7次 </w:t>
      </w:r>
    </w:p>
    <w:p w14:paraId="1016DE3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9次 </w:t>
      </w:r>
    </w:p>
    <w:p w14:paraId="1942597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5.老年人由于器官功能衰退,用药量通常应为成人剂量的</w:t>
      </w:r>
    </w:p>
    <w:p w14:paraId="698A8E3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1/2 </w:t>
      </w:r>
    </w:p>
    <w:p w14:paraId="5E5E2858">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1/3 </w:t>
      </w:r>
    </w:p>
    <w:p w14:paraId="0B7CB4A8">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2/3 </w:t>
      </w:r>
    </w:p>
    <w:p w14:paraId="53AAFD2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3/4 </w:t>
      </w:r>
    </w:p>
    <w:p w14:paraId="2D40D6C2">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4/5 </w:t>
      </w:r>
    </w:p>
    <w:p w14:paraId="1929C498">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rPr>
        <w:t>、控制癫痫复杂部分发作最有效的药物是()。</w:t>
      </w:r>
    </w:p>
    <w:p w14:paraId="26F2FEE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A.苯巴比妥</w:t>
      </w:r>
    </w:p>
    <w:p w14:paraId="70D42CC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B.卡马西平</w:t>
      </w:r>
    </w:p>
    <w:p w14:paraId="52B6570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C.丙戊酸钠</w:t>
      </w:r>
    </w:p>
    <w:p w14:paraId="56EA39B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D.硝西泮</w:t>
      </w:r>
    </w:p>
    <w:p w14:paraId="0F98E64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E. 苯妥钠 </w:t>
      </w:r>
    </w:p>
    <w:p w14:paraId="1E67581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rPr>
        <w:t>、不是肾上腺素禁忌症的是</w:t>
      </w:r>
    </w:p>
    <w:p w14:paraId="56DF2E1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A、高血压</w:t>
      </w:r>
    </w:p>
    <w:p w14:paraId="3313640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B、心跳骤停</w:t>
      </w:r>
    </w:p>
    <w:p w14:paraId="688711B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C、充血性心力衰竭</w:t>
      </w:r>
    </w:p>
    <w:p w14:paraId="1D1F2C5D">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D、甲状腺机能亢进症</w:t>
      </w:r>
    </w:p>
    <w:p w14:paraId="5CD47F2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E、糖尿病</w:t>
      </w:r>
    </w:p>
    <w:p w14:paraId="0AC08168">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8</w:t>
      </w:r>
      <w:r>
        <w:rPr>
          <w:rFonts w:hint="eastAsia" w:ascii="宋体" w:hAnsi="宋体" w:eastAsia="宋体" w:cs="宋体"/>
          <w:b w:val="0"/>
          <w:bCs w:val="0"/>
          <w:color w:val="auto"/>
          <w:sz w:val="21"/>
          <w:szCs w:val="21"/>
          <w:highlight w:val="none"/>
          <w:lang w:eastAsia="zh-CN"/>
        </w:rPr>
        <w:t>、哪种药能使肾上腺素的升压效应翻转</w:t>
      </w:r>
    </w:p>
    <w:p w14:paraId="3FC3387C">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A、去甲肾上腺素</w:t>
      </w:r>
    </w:p>
    <w:p w14:paraId="6778E213">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B、多巴胺</w:t>
      </w:r>
    </w:p>
    <w:p w14:paraId="3F5B311E">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C、异丙肾上腺素</w:t>
      </w:r>
    </w:p>
    <w:p w14:paraId="4443A2EF">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D、酚妥拉明</w:t>
      </w:r>
    </w:p>
    <w:p w14:paraId="1302C748">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E、普萘洛尔</w:t>
      </w:r>
    </w:p>
    <w:p w14:paraId="5B2A3BDF">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lang w:eastAsia="zh-CN"/>
        </w:rPr>
        <w:t>、普鲁卡因不用于表面麻醉的原因是</w:t>
      </w:r>
    </w:p>
    <w:p w14:paraId="5E481A19">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A、麻醉作用弱</w:t>
      </w:r>
    </w:p>
    <w:p w14:paraId="1F1EE980">
      <w:pPr>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B、对粘膜穿透力弱</w:t>
      </w:r>
    </w:p>
    <w:p w14:paraId="2898524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C、麻</w:t>
      </w:r>
      <w:r>
        <w:rPr>
          <w:rFonts w:hint="eastAsia" w:ascii="宋体" w:hAnsi="宋体" w:eastAsia="宋体" w:cs="宋体"/>
          <w:b w:val="0"/>
          <w:bCs w:val="0"/>
          <w:color w:val="auto"/>
          <w:sz w:val="21"/>
          <w:szCs w:val="21"/>
          <w:highlight w:val="none"/>
        </w:rPr>
        <w:t>醉作用时间短</w:t>
      </w:r>
    </w:p>
    <w:p w14:paraId="27960EC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D、对局部刺激性强</w:t>
      </w:r>
    </w:p>
    <w:p w14:paraId="18F71125">
      <w:pPr>
        <w:spacing w:line="360" w:lineRule="auto"/>
        <w:rPr>
          <w:highlight w:val="none"/>
        </w:rPr>
      </w:pPr>
      <w:r>
        <w:rPr>
          <w:rFonts w:ascii="Times New Roman" w:hAnsi="Times New Roman" w:eastAsia="Times New Roman" w:cs="Times New Roman"/>
          <w:highlight w:val="none"/>
        </w:rPr>
        <w:t>E</w:t>
      </w:r>
      <w:r>
        <w:rPr>
          <w:highlight w:val="none"/>
        </w:rPr>
        <w:t>、毒性太大</w:t>
      </w:r>
    </w:p>
    <w:p w14:paraId="3DF90C09">
      <w:pPr>
        <w:pStyle w:val="3"/>
        <w:spacing w:before="69" w:line="221" w:lineRule="auto"/>
        <w:ind w:left="15"/>
        <w:rPr>
          <w:highlight w:val="none"/>
        </w:rPr>
      </w:pPr>
      <w:r>
        <w:rPr>
          <w:rFonts w:hint="eastAsia" w:ascii="宋体" w:hAnsi="宋体" w:eastAsia="宋体" w:cs="宋体"/>
          <w:spacing w:val="11"/>
          <w:highlight w:val="none"/>
          <w:lang w:val="en-US" w:eastAsia="zh-CN"/>
        </w:rPr>
        <w:t>10</w:t>
      </w:r>
      <w:r>
        <w:rPr>
          <w:rFonts w:ascii="宋体" w:hAnsi="宋体" w:eastAsia="宋体" w:cs="宋体"/>
          <w:spacing w:val="11"/>
          <w:highlight w:val="none"/>
        </w:rPr>
        <w:t>、</w:t>
      </w:r>
      <w:r>
        <w:rPr>
          <w:spacing w:val="11"/>
          <w:highlight w:val="none"/>
        </w:rPr>
        <w:t>发挥作用最慢的利尿药是</w:t>
      </w:r>
    </w:p>
    <w:p w14:paraId="10AFA819">
      <w:pPr>
        <w:pStyle w:val="3"/>
        <w:spacing w:before="78" w:line="221" w:lineRule="auto"/>
        <w:ind w:left="15"/>
        <w:rPr>
          <w:highlight w:val="none"/>
        </w:rPr>
      </w:pPr>
      <w:r>
        <w:rPr>
          <w:rFonts w:ascii="宋体" w:hAnsi="宋体" w:eastAsia="宋体" w:cs="宋体"/>
          <w:spacing w:val="-1"/>
          <w:highlight w:val="none"/>
        </w:rPr>
        <w:t>A.</w:t>
      </w:r>
      <w:r>
        <w:rPr>
          <w:spacing w:val="-1"/>
          <w:highlight w:val="none"/>
        </w:rPr>
        <w:t>氢氯噻嗪</w:t>
      </w:r>
    </w:p>
    <w:p w14:paraId="732E5B8F">
      <w:pPr>
        <w:pStyle w:val="3"/>
        <w:spacing w:before="61" w:line="222" w:lineRule="auto"/>
        <w:ind w:left="15"/>
        <w:rPr>
          <w:highlight w:val="none"/>
        </w:rPr>
      </w:pPr>
      <w:r>
        <w:rPr>
          <w:rFonts w:ascii="Times New Roman" w:hAnsi="Times New Roman" w:eastAsia="Times New Roman" w:cs="Times New Roman"/>
          <w:spacing w:val="5"/>
          <w:highlight w:val="none"/>
        </w:rPr>
        <w:t>B.</w:t>
      </w:r>
      <w:r>
        <w:rPr>
          <w:spacing w:val="5"/>
          <w:highlight w:val="none"/>
        </w:rPr>
        <w:t>呋塞米</w:t>
      </w:r>
    </w:p>
    <w:p w14:paraId="385789AB">
      <w:pPr>
        <w:pStyle w:val="3"/>
        <w:spacing w:before="55" w:line="220" w:lineRule="auto"/>
        <w:ind w:left="15"/>
        <w:rPr>
          <w:highlight w:val="none"/>
        </w:rPr>
      </w:pPr>
      <w:r>
        <w:rPr>
          <w:rFonts w:ascii="Times New Roman" w:hAnsi="Times New Roman" w:eastAsia="Times New Roman" w:cs="Times New Roman"/>
          <w:spacing w:val="5"/>
          <w:highlight w:val="none"/>
        </w:rPr>
        <w:t>C.</w:t>
      </w:r>
      <w:r>
        <w:rPr>
          <w:spacing w:val="5"/>
          <w:highlight w:val="none"/>
        </w:rPr>
        <w:t>氨苯蝶啶</w:t>
      </w:r>
    </w:p>
    <w:p w14:paraId="459E4517">
      <w:pPr>
        <w:pStyle w:val="3"/>
        <w:spacing w:before="61" w:line="222" w:lineRule="auto"/>
        <w:ind w:left="15"/>
        <w:rPr>
          <w:highlight w:val="none"/>
        </w:rPr>
      </w:pPr>
      <w:r>
        <w:rPr>
          <w:rFonts w:ascii="宋体" w:hAnsi="宋体" w:eastAsia="宋体" w:cs="宋体"/>
          <w:spacing w:val="1"/>
          <w:highlight w:val="none"/>
        </w:rPr>
        <w:t>D.</w:t>
      </w:r>
      <w:r>
        <w:rPr>
          <w:spacing w:val="1"/>
          <w:highlight w:val="none"/>
        </w:rPr>
        <w:t>螺内酯</w:t>
      </w:r>
    </w:p>
    <w:p w14:paraId="6FADD044">
      <w:pPr>
        <w:pStyle w:val="3"/>
        <w:spacing w:before="68" w:line="221" w:lineRule="auto"/>
        <w:ind w:left="15"/>
        <w:rPr>
          <w:highlight w:val="none"/>
        </w:rPr>
      </w:pPr>
      <w:r>
        <w:rPr>
          <w:rFonts w:ascii="宋体" w:hAnsi="宋体" w:eastAsia="宋体" w:cs="宋体"/>
          <w:spacing w:val="5"/>
          <w:highlight w:val="none"/>
        </w:rPr>
        <w:t>E.</w:t>
      </w:r>
      <w:r>
        <w:rPr>
          <w:spacing w:val="5"/>
          <w:highlight w:val="none"/>
        </w:rPr>
        <w:t>阿米洛利</w:t>
      </w:r>
      <w:r>
        <w:rPr>
          <w:highlight w:val="none"/>
        </w:rPr>
        <w:t xml:space="preserve"> </w:t>
      </w:r>
    </w:p>
    <w:p w14:paraId="2DF633F9">
      <w:pPr>
        <w:pStyle w:val="3"/>
        <w:spacing w:before="68" w:line="221" w:lineRule="auto"/>
        <w:ind w:left="15"/>
        <w:rPr>
          <w:highlight w:val="none"/>
        </w:rPr>
      </w:pPr>
      <w:r>
        <w:rPr>
          <w:rFonts w:ascii="宋体" w:hAnsi="宋体" w:eastAsia="宋体" w:cs="宋体"/>
          <w:spacing w:val="13"/>
          <w:highlight w:val="none"/>
        </w:rPr>
        <w:t>1</w:t>
      </w:r>
      <w:r>
        <w:rPr>
          <w:rFonts w:hint="eastAsia" w:ascii="宋体" w:hAnsi="宋体" w:eastAsia="宋体" w:cs="宋体"/>
          <w:spacing w:val="13"/>
          <w:highlight w:val="none"/>
          <w:lang w:val="en-US" w:eastAsia="zh-CN"/>
        </w:rPr>
        <w:t>1</w:t>
      </w:r>
      <w:r>
        <w:rPr>
          <w:rFonts w:ascii="宋体" w:hAnsi="宋体" w:eastAsia="宋体" w:cs="宋体"/>
          <w:spacing w:val="13"/>
          <w:highlight w:val="none"/>
        </w:rPr>
        <w:t>、</w:t>
      </w:r>
      <w:r>
        <w:rPr>
          <w:spacing w:val="13"/>
          <w:highlight w:val="none"/>
        </w:rPr>
        <w:t>作基础降压药宜选</w:t>
      </w:r>
    </w:p>
    <w:p w14:paraId="02A8340E">
      <w:pPr>
        <w:pStyle w:val="3"/>
        <w:spacing w:before="59" w:line="221" w:lineRule="auto"/>
        <w:ind w:left="15"/>
        <w:rPr>
          <w:highlight w:val="none"/>
        </w:rPr>
      </w:pPr>
      <w:r>
        <w:rPr>
          <w:rFonts w:ascii="宋体" w:hAnsi="宋体" w:eastAsia="宋体" w:cs="宋体"/>
          <w:spacing w:val="-1"/>
          <w:highlight w:val="none"/>
        </w:rPr>
        <w:t>A.</w:t>
      </w:r>
      <w:r>
        <w:rPr>
          <w:spacing w:val="-1"/>
          <w:highlight w:val="none"/>
        </w:rPr>
        <w:t>氢氯噻嗪</w:t>
      </w:r>
    </w:p>
    <w:p w14:paraId="0A27F1CC">
      <w:pPr>
        <w:pStyle w:val="3"/>
        <w:spacing w:before="51" w:line="222" w:lineRule="auto"/>
        <w:ind w:left="15"/>
        <w:rPr>
          <w:highlight w:val="none"/>
        </w:rPr>
      </w:pPr>
      <w:r>
        <w:rPr>
          <w:rFonts w:ascii="Times New Roman" w:hAnsi="Times New Roman" w:eastAsia="Times New Roman" w:cs="Times New Roman"/>
          <w:spacing w:val="5"/>
          <w:highlight w:val="none"/>
        </w:rPr>
        <w:t>B.</w:t>
      </w:r>
      <w:r>
        <w:rPr>
          <w:spacing w:val="5"/>
          <w:highlight w:val="none"/>
        </w:rPr>
        <w:t>呋塞米</w:t>
      </w:r>
    </w:p>
    <w:p w14:paraId="324209B5">
      <w:pPr>
        <w:pStyle w:val="3"/>
        <w:spacing w:before="65" w:line="220" w:lineRule="auto"/>
        <w:ind w:left="15"/>
        <w:rPr>
          <w:highlight w:val="none"/>
        </w:rPr>
      </w:pPr>
      <w:r>
        <w:rPr>
          <w:rFonts w:ascii="Times New Roman" w:hAnsi="Times New Roman" w:eastAsia="Times New Roman" w:cs="Times New Roman"/>
          <w:spacing w:val="1"/>
          <w:highlight w:val="none"/>
        </w:rPr>
        <w:t>C.</w:t>
      </w:r>
      <w:r>
        <w:rPr>
          <w:rFonts w:ascii="Times New Roman" w:hAnsi="Times New Roman" w:eastAsia="Times New Roman" w:cs="Times New Roman"/>
          <w:spacing w:val="-25"/>
          <w:highlight w:val="none"/>
        </w:rPr>
        <w:t xml:space="preserve"> </w:t>
      </w:r>
      <w:r>
        <w:rPr>
          <w:spacing w:val="1"/>
          <w:highlight w:val="none"/>
        </w:rPr>
        <w:t>氨苯蝶啶</w:t>
      </w:r>
    </w:p>
    <w:p w14:paraId="388CD1FF">
      <w:pPr>
        <w:pStyle w:val="3"/>
        <w:spacing w:before="60" w:line="222" w:lineRule="auto"/>
        <w:ind w:left="15"/>
        <w:rPr>
          <w:highlight w:val="none"/>
        </w:rPr>
      </w:pPr>
      <w:r>
        <w:rPr>
          <w:rFonts w:ascii="宋体" w:hAnsi="宋体" w:eastAsia="宋体" w:cs="宋体"/>
          <w:spacing w:val="1"/>
          <w:highlight w:val="none"/>
        </w:rPr>
        <w:t>D.</w:t>
      </w:r>
      <w:r>
        <w:rPr>
          <w:spacing w:val="1"/>
          <w:highlight w:val="none"/>
        </w:rPr>
        <w:t>螺内酯</w:t>
      </w:r>
    </w:p>
    <w:p w14:paraId="331EF6F0">
      <w:pPr>
        <w:pStyle w:val="3"/>
        <w:tabs>
          <w:tab w:val="left" w:pos="1050"/>
        </w:tabs>
        <w:spacing w:before="68" w:line="253" w:lineRule="auto"/>
        <w:ind w:right="5566" w:rightChars="0" w:firstLine="15"/>
        <w:rPr>
          <w:rFonts w:hint="eastAsia" w:ascii="宋体" w:hAnsi="宋体" w:eastAsia="宋体" w:cs="宋体"/>
          <w:b w:val="0"/>
          <w:bCs w:val="0"/>
          <w:color w:val="auto"/>
          <w:sz w:val="21"/>
          <w:szCs w:val="21"/>
          <w:highlight w:val="none"/>
          <w:lang w:eastAsia="zh-CN"/>
        </w:rPr>
      </w:pPr>
      <w:r>
        <w:rPr>
          <w:rFonts w:ascii="宋体" w:hAnsi="宋体" w:eastAsia="宋体" w:cs="宋体"/>
          <w:spacing w:val="5"/>
          <w:highlight w:val="none"/>
        </w:rPr>
        <w:t>E.</w:t>
      </w:r>
      <w:r>
        <w:rPr>
          <w:spacing w:val="5"/>
          <w:highlight w:val="none"/>
        </w:rPr>
        <w:t>阿米洛利</w:t>
      </w:r>
      <w:r>
        <w:rPr>
          <w:highlight w:val="none"/>
        </w:rPr>
        <w:t xml:space="preserve"> </w:t>
      </w:r>
    </w:p>
    <w:p w14:paraId="2BFF400A">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12</w:t>
      </w:r>
      <w:r>
        <w:rPr>
          <w:rFonts w:hint="eastAsia" w:ascii="宋体" w:hAnsi="宋体" w:eastAsia="宋体" w:cs="宋体"/>
          <w:b w:val="0"/>
          <w:bCs w:val="0"/>
          <w:color w:val="auto"/>
          <w:sz w:val="21"/>
          <w:szCs w:val="21"/>
          <w:highlight w:val="none"/>
          <w:lang w:eastAsia="zh-CN"/>
        </w:rPr>
        <w:t>、阿司匹林引起胃粘膜出血最好选用</w:t>
      </w:r>
    </w:p>
    <w:p w14:paraId="4FDD1C67">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A.氢氧化铝</w:t>
      </w:r>
    </w:p>
    <w:p w14:paraId="7BD81279">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B. 奥美拉唑</w:t>
      </w:r>
    </w:p>
    <w:p w14:paraId="5760CF28">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C. 西米替丁</w:t>
      </w:r>
    </w:p>
    <w:p w14:paraId="4713479C">
      <w:pPr>
        <w:pStyle w:val="3"/>
        <w:spacing w:before="36" w:line="222" w:lineRule="auto"/>
        <w:ind w:left="15"/>
        <w:rPr>
          <w:highlight w:val="none"/>
        </w:rPr>
      </w:pPr>
      <w:r>
        <w:rPr>
          <w:rFonts w:ascii="宋体" w:hAnsi="宋体" w:eastAsia="宋体" w:cs="宋体"/>
          <w:spacing w:val="3"/>
          <w:highlight w:val="none"/>
        </w:rPr>
        <w:t>D.</w:t>
      </w:r>
      <w:r>
        <w:rPr>
          <w:spacing w:val="3"/>
          <w:highlight w:val="none"/>
        </w:rPr>
        <w:t>哌仑西平</w:t>
      </w:r>
    </w:p>
    <w:p w14:paraId="517309F4">
      <w:pPr>
        <w:pStyle w:val="3"/>
        <w:spacing w:before="68" w:line="253" w:lineRule="auto"/>
        <w:ind w:right="7077" w:firstLine="15"/>
        <w:rPr>
          <w:spacing w:val="2"/>
          <w:highlight w:val="none"/>
        </w:rPr>
      </w:pPr>
      <w:r>
        <w:rPr>
          <w:rFonts w:ascii="宋体" w:hAnsi="宋体" w:eastAsia="宋体" w:cs="宋体"/>
          <w:spacing w:val="2"/>
          <w:highlight w:val="none"/>
        </w:rPr>
        <w:t>E.</w:t>
      </w:r>
      <w:r>
        <w:rPr>
          <w:spacing w:val="2"/>
          <w:highlight w:val="none"/>
        </w:rPr>
        <w:t xml:space="preserve">米索前醇 </w:t>
      </w:r>
    </w:p>
    <w:p w14:paraId="7E10330B">
      <w:pPr>
        <w:pStyle w:val="3"/>
        <w:spacing w:before="68" w:line="253" w:lineRule="auto"/>
        <w:ind w:right="7077" w:firstLine="15"/>
        <w:rPr>
          <w:spacing w:val="2"/>
          <w:highlight w:val="none"/>
        </w:rPr>
      </w:pPr>
    </w:p>
    <w:p w14:paraId="5C6422E4">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13</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H+泵抑制药是</w:t>
      </w:r>
    </w:p>
    <w:p w14:paraId="140F9C3F">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哌仑西平</w:t>
      </w:r>
    </w:p>
    <w:p w14:paraId="0B60ED04">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奥美拉唑</w:t>
      </w:r>
    </w:p>
    <w:p w14:paraId="1772960F">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胶体碱，枸橼酸铋</w:t>
      </w:r>
    </w:p>
    <w:p w14:paraId="1B5B08ED">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丙谷胺</w:t>
      </w:r>
    </w:p>
    <w:p w14:paraId="3BE73076">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法莫替丁</w:t>
      </w:r>
    </w:p>
    <w:p w14:paraId="20CA1160">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14</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M受体阻断药是</w:t>
      </w:r>
    </w:p>
    <w:p w14:paraId="0945C941">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哌仑西平</w:t>
      </w:r>
    </w:p>
    <w:p w14:paraId="1EDFC0AC">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奥美拉唑</w:t>
      </w:r>
    </w:p>
    <w:p w14:paraId="302089D1">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胶体碱，枸橼酸铋</w:t>
      </w:r>
    </w:p>
    <w:p w14:paraId="2C7A96C7">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丙谷胺</w:t>
      </w:r>
    </w:p>
    <w:p w14:paraId="60BE44D1">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法莫替丁</w:t>
      </w:r>
    </w:p>
    <w:p w14:paraId="2012016D">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rPr>
        <w:t>下列叙述不正确的是</w:t>
      </w:r>
    </w:p>
    <w:p w14:paraId="03F6DF7E">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A.乙酰半胱氨酸应用电塑料或玻璃制成的容器保存</w:t>
      </w:r>
    </w:p>
    <w:p w14:paraId="7A685569">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B.乙酰半胱氨酸不宜与青霉素混合使用</w:t>
      </w:r>
    </w:p>
    <w:p w14:paraId="2586593B">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C.乙酰半胱氨酸可与异丙肾上腺素合用，避免支气管痉挛</w:t>
      </w:r>
    </w:p>
    <w:p w14:paraId="14D6BDC8">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D.乙酰半胱氨酸常与NaHCO</w:t>
      </w:r>
      <w:r>
        <w:rPr>
          <w:rFonts w:hint="eastAsia" w:ascii="宋体" w:hAnsi="宋体" w:eastAsia="宋体" w:cs="宋体"/>
          <w:b w:val="0"/>
          <w:bCs w:val="0"/>
          <w:color w:val="auto"/>
          <w:sz w:val="21"/>
          <w:szCs w:val="21"/>
          <w:highlight w:val="none"/>
          <w:vertAlign w:val="subscript"/>
        </w:rPr>
        <w:t>3</w:t>
      </w:r>
      <w:r>
        <w:rPr>
          <w:rFonts w:hint="eastAsia" w:ascii="宋体" w:hAnsi="宋体" w:eastAsia="宋体" w:cs="宋体"/>
          <w:b w:val="0"/>
          <w:bCs w:val="0"/>
          <w:color w:val="auto"/>
          <w:sz w:val="21"/>
          <w:szCs w:val="21"/>
          <w:highlight w:val="none"/>
        </w:rPr>
        <w:t>混合使用</w:t>
      </w:r>
    </w:p>
    <w:p w14:paraId="24DBAC7C">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E.乙酰半胱氨酸可引起转氨酶升高正确</w:t>
      </w:r>
    </w:p>
    <w:p w14:paraId="728D85D7">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16</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去甲肾上腺素静滴外漏的最佳处理 </w:t>
      </w:r>
    </w:p>
    <w:p w14:paraId="17539A9A">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生理盐水皮下注射           </w:t>
      </w:r>
    </w:p>
    <w:p w14:paraId="15CF9C8C">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普鲁卡因溶液封闭</w:t>
      </w:r>
    </w:p>
    <w:p w14:paraId="588C1D89">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酚妥拉明皮下浸润注射       </w:t>
      </w:r>
    </w:p>
    <w:p w14:paraId="32EE4BD3">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热敷</w:t>
      </w:r>
    </w:p>
    <w:p w14:paraId="2B70D2ED">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冷敷</w:t>
      </w:r>
    </w:p>
    <w:p w14:paraId="7F6A0514">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rPr>
        <w:t>少尿或无尿的休克病人应禁用</w:t>
      </w:r>
    </w:p>
    <w:p w14:paraId="281CA06C">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山茛菪碱                    </w:t>
      </w:r>
    </w:p>
    <w:p w14:paraId="6613A5FA">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异丙肾上腺素</w:t>
      </w:r>
    </w:p>
    <w:p w14:paraId="044F420D">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多巴胺                      </w:t>
      </w:r>
    </w:p>
    <w:p w14:paraId="3380B4F2">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阿托品</w:t>
      </w:r>
    </w:p>
    <w:p w14:paraId="7F93E41A">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去甲肾上腺素</w:t>
      </w:r>
    </w:p>
    <w:p w14:paraId="4A1D06A6">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18</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吗啡的适应证是</w:t>
      </w:r>
    </w:p>
    <w:p w14:paraId="08F4FFAF">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分娩止痛</w:t>
      </w:r>
    </w:p>
    <w:p w14:paraId="323095D3">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支气管哮喘</w:t>
      </w:r>
    </w:p>
    <w:p w14:paraId="482667DE">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心源性哮喘</w:t>
      </w:r>
    </w:p>
    <w:p w14:paraId="405A6B6C">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颅脑外伤止痛</w:t>
      </w:r>
    </w:p>
    <w:p w14:paraId="29A44B37">
      <w:pPr>
        <w:keepNext w:val="0"/>
        <w:keepLines w:val="0"/>
        <w:pageBreakBefore w:val="0"/>
        <w:kinsoku/>
        <w:wordWrap/>
        <w:overflowPunct/>
        <w:topLinePunct w:val="0"/>
        <w:autoSpaceDE/>
        <w:autoSpaceDN/>
        <w:bidi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感染性腹泻</w:t>
      </w:r>
    </w:p>
    <w:p w14:paraId="5DFB9907">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19</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细菌对β-内酰胺类抗生素产生耐药性的机制之一是</w:t>
      </w:r>
    </w:p>
    <w:p w14:paraId="40A14085">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膜通透性改变    </w:t>
      </w:r>
    </w:p>
    <w:p w14:paraId="1ACB168D">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核糖体靶位结构改变   </w:t>
      </w:r>
    </w:p>
    <w:p w14:paraId="0052D857">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药酶的诱导    </w:t>
      </w:r>
    </w:p>
    <w:p w14:paraId="105620C3">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产生钝化酶</w:t>
      </w:r>
    </w:p>
    <w:p w14:paraId="0BA7CC3B">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产生β-内酰胺酶                                             </w:t>
      </w:r>
    </w:p>
    <w:p w14:paraId="6F34A4E3">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20</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影响细菌细胞壁合成的抗生素是                                            </w:t>
      </w:r>
    </w:p>
    <w:p w14:paraId="1823423E">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头孢菌素类    </w:t>
      </w:r>
    </w:p>
    <w:p w14:paraId="58632CDA">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氨基糖苷类    </w:t>
      </w:r>
    </w:p>
    <w:p w14:paraId="084F2FD3">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四环素类   </w:t>
      </w:r>
    </w:p>
    <w:p w14:paraId="3DC47A7B">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大环内酯类  </w:t>
      </w:r>
    </w:p>
    <w:p w14:paraId="45C02FD5">
      <w:pPr>
        <w:keepNext w:val="0"/>
        <w:keepLines w:val="0"/>
        <w:pageBreakBefore w:val="0"/>
        <w:kinsoku/>
        <w:wordWrap/>
        <w:overflowPunct/>
        <w:topLinePunct w:val="0"/>
        <w:autoSpaceDE/>
        <w:autoSpaceDN/>
        <w:bidi w:val="0"/>
        <w:snapToGrid w:val="0"/>
        <w:spacing w:line="360" w:lineRule="auto"/>
        <w:ind w:left="0" w:firstLine="0" w:firstLineChars="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林可霉素类</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tab/>
      </w:r>
    </w:p>
    <w:p w14:paraId="27081904">
      <w:pPr>
        <w:pStyle w:val="13"/>
        <w:keepNext w:val="0"/>
        <w:keepLines w:val="0"/>
        <w:pageBreakBefore w:val="0"/>
        <w:widowControl/>
        <w:suppressLineNumbers w:val="0"/>
        <w:kinsoku/>
        <w:wordWrap/>
        <w:overflowPunct/>
        <w:topLinePunct w:val="0"/>
        <w:autoSpaceDN/>
        <w:bidi w:val="0"/>
        <w:adjustRightInd/>
        <w:snapToGrid/>
        <w:spacing w:before="0" w:beforeAutospacing="0" w:afterAutospacing="0" w:line="360" w:lineRule="auto"/>
        <w:ind w:left="0" w:right="0"/>
        <w:textAlignment w:val="auto"/>
        <w:rPr>
          <w:rFonts w:hint="eastAsia" w:ascii="宋体" w:hAnsi="宋体" w:eastAsia="宋体" w:cs="宋体"/>
          <w:b w:val="0"/>
          <w:bCs w:val="0"/>
          <w:color w:val="auto"/>
          <w:kern w:val="0"/>
          <w:sz w:val="21"/>
          <w:szCs w:val="21"/>
          <w:highlight w:val="none"/>
        </w:rPr>
      </w:pPr>
      <w:r>
        <w:rPr>
          <w:rStyle w:val="14"/>
          <w:rFonts w:hint="eastAsia" w:ascii="宋体" w:hAnsi="宋体" w:eastAsia="宋体" w:cs="宋体"/>
          <w:b w:val="0"/>
          <w:bCs w:val="0"/>
          <w:color w:val="auto"/>
          <w:sz w:val="21"/>
          <w:szCs w:val="21"/>
          <w:highlight w:val="none"/>
          <w:lang w:val="en-US" w:eastAsia="zh-CN"/>
        </w:rPr>
        <w:t>21</w:t>
      </w:r>
      <w:r>
        <w:rPr>
          <w:rStyle w:val="14"/>
          <w:rFonts w:hint="eastAsia" w:ascii="宋体" w:hAnsi="宋体" w:eastAsia="宋体" w:cs="宋体"/>
          <w:b w:val="0"/>
          <w:bCs w:val="0"/>
          <w:color w:val="auto"/>
          <w:sz w:val="21"/>
          <w:szCs w:val="21"/>
          <w:highlight w:val="none"/>
          <w:lang w:eastAsia="zh-CN"/>
        </w:rPr>
        <w:t>.</w:t>
      </w:r>
      <w:r>
        <w:rPr>
          <w:rStyle w:val="14"/>
          <w:rFonts w:hint="eastAsia" w:ascii="宋体" w:hAnsi="宋体" w:eastAsia="宋体" w:cs="宋体"/>
          <w:b w:val="0"/>
          <w:bCs w:val="0"/>
          <w:color w:val="auto"/>
          <w:sz w:val="21"/>
          <w:szCs w:val="21"/>
          <w:highlight w:val="none"/>
        </w:rPr>
        <w:t>冷藏药品应在到货</w:t>
      </w:r>
      <w:r>
        <w:rPr>
          <w:rStyle w:val="14"/>
          <w:rFonts w:hint="eastAsia" w:ascii="宋体" w:hAnsi="宋体" w:eastAsia="宋体" w:cs="宋体"/>
          <w:b w:val="0"/>
          <w:bCs w:val="0"/>
          <w:color w:val="auto"/>
          <w:sz w:val="21"/>
          <w:szCs w:val="21"/>
          <w:highlight w:val="none"/>
          <w:lang w:val="en-US" w:eastAsia="zh-CN"/>
        </w:rPr>
        <w:t>多长</w:t>
      </w:r>
      <w:r>
        <w:rPr>
          <w:rStyle w:val="14"/>
          <w:rFonts w:hint="eastAsia" w:ascii="宋体" w:hAnsi="宋体" w:eastAsia="宋体" w:cs="宋体"/>
          <w:b w:val="0"/>
          <w:bCs w:val="0"/>
          <w:color w:val="auto"/>
          <w:sz w:val="21"/>
          <w:szCs w:val="21"/>
          <w:highlight w:val="none"/>
        </w:rPr>
        <w:t xml:space="preserve">时间内验收完毕 </w:t>
      </w:r>
    </w:p>
    <w:p w14:paraId="717E8297">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A</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30分钟 </w:t>
      </w:r>
    </w:p>
    <w:p w14:paraId="60814F18">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B</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60分钟 </w:t>
      </w:r>
    </w:p>
    <w:p w14:paraId="710EBC77">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C</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90分钟 </w:t>
      </w:r>
    </w:p>
    <w:p w14:paraId="0A673D0A">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D</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120分钟 </w:t>
      </w:r>
    </w:p>
    <w:p w14:paraId="20E112C6">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E</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150分钟 </w:t>
      </w:r>
    </w:p>
    <w:p w14:paraId="3B227F21">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22</w:t>
      </w:r>
      <w:r>
        <w:rPr>
          <w:rFonts w:hint="eastAsia" w:ascii="宋体" w:hAnsi="宋体" w:eastAsia="宋体" w:cs="宋体"/>
          <w:b w:val="0"/>
          <w:bCs w:val="0"/>
          <w:color w:val="auto"/>
          <w:sz w:val="21"/>
          <w:szCs w:val="21"/>
          <w:highlight w:val="none"/>
        </w:rPr>
        <w:t xml:space="preserve">.解热镇痛药用于解热一般不超过几天，如症状未缓解，及时向医师咨询 </w:t>
      </w:r>
    </w:p>
    <w:p w14:paraId="4517FA04">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A.1天        </w:t>
      </w:r>
    </w:p>
    <w:p w14:paraId="5C486ED2">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rPr>
        <w:t xml:space="preserve">天        </w:t>
      </w:r>
    </w:p>
    <w:p w14:paraId="391A60EB">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C.3天          </w:t>
      </w:r>
    </w:p>
    <w:p w14:paraId="264FDDAB">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D.4天          </w:t>
      </w:r>
    </w:p>
    <w:p w14:paraId="11FEFF80">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E.5天</w:t>
      </w:r>
    </w:p>
    <w:p w14:paraId="1B97ED48">
      <w:pPr>
        <w:pStyle w:val="13"/>
        <w:keepNext w:val="0"/>
        <w:keepLines w:val="0"/>
        <w:pageBreakBefore w:val="0"/>
        <w:widowControl/>
        <w:suppressLineNumbers w:val="0"/>
        <w:kinsoku/>
        <w:wordWrap/>
        <w:overflowPunct/>
        <w:topLinePunct w:val="0"/>
        <w:autoSpaceDN/>
        <w:bidi w:val="0"/>
        <w:adjustRightInd/>
        <w:snapToGrid/>
        <w:spacing w:before="0" w:beforeAutospacing="0" w:afterAutospacing="0" w:line="360" w:lineRule="auto"/>
        <w:ind w:left="0" w:right="0"/>
        <w:textAlignment w:val="auto"/>
        <w:rPr>
          <w:rFonts w:hint="eastAsia" w:ascii="宋体" w:hAnsi="宋体" w:eastAsia="宋体" w:cs="宋体"/>
          <w:b w:val="0"/>
          <w:bCs w:val="0"/>
          <w:color w:val="auto"/>
          <w:sz w:val="21"/>
          <w:szCs w:val="21"/>
          <w:highlight w:val="none"/>
        </w:rPr>
      </w:pPr>
      <w:r>
        <w:rPr>
          <w:rStyle w:val="9"/>
          <w:rFonts w:hint="eastAsia" w:ascii="宋体" w:hAnsi="宋体" w:eastAsia="宋体" w:cs="宋体"/>
          <w:b w:val="0"/>
          <w:bCs w:val="0"/>
          <w:color w:val="auto"/>
          <w:sz w:val="21"/>
          <w:szCs w:val="21"/>
          <w:highlight w:val="none"/>
          <w:lang w:val="en-US" w:eastAsia="zh-CN"/>
        </w:rPr>
        <w:t>23</w:t>
      </w:r>
      <w:r>
        <w:rPr>
          <w:rStyle w:val="9"/>
          <w:rFonts w:hint="eastAsia" w:ascii="宋体" w:hAnsi="宋体" w:eastAsia="宋体" w:cs="宋体"/>
          <w:b w:val="0"/>
          <w:bCs w:val="0"/>
          <w:color w:val="auto"/>
          <w:sz w:val="21"/>
          <w:szCs w:val="21"/>
          <w:highlight w:val="none"/>
          <w:lang w:eastAsia="zh-CN"/>
        </w:rPr>
        <w:t>.</w:t>
      </w:r>
      <w:r>
        <w:rPr>
          <w:rStyle w:val="9"/>
          <w:rFonts w:hint="eastAsia" w:ascii="宋体" w:hAnsi="宋体" w:eastAsia="宋体" w:cs="宋体"/>
          <w:b w:val="0"/>
          <w:bCs w:val="0"/>
          <w:color w:val="auto"/>
          <w:sz w:val="21"/>
          <w:szCs w:val="21"/>
          <w:highlight w:val="none"/>
        </w:rPr>
        <w:t>哺乳妇女患病，应选择对母亲有利</w:t>
      </w:r>
      <w:r>
        <w:rPr>
          <w:rStyle w:val="9"/>
          <w:rFonts w:hint="eastAsia" w:ascii="宋体" w:hAnsi="宋体" w:eastAsia="宋体" w:cs="宋体"/>
          <w:b w:val="0"/>
          <w:bCs w:val="0"/>
          <w:color w:val="auto"/>
          <w:sz w:val="21"/>
          <w:szCs w:val="21"/>
          <w:highlight w:val="none"/>
          <w:lang w:eastAsia="zh-CN"/>
        </w:rPr>
        <w:t>、</w:t>
      </w:r>
      <w:r>
        <w:rPr>
          <w:rStyle w:val="9"/>
          <w:rFonts w:hint="eastAsia" w:ascii="宋体" w:hAnsi="宋体" w:eastAsia="宋体" w:cs="宋体"/>
          <w:b w:val="0"/>
          <w:bCs w:val="0"/>
          <w:color w:val="auto"/>
          <w:sz w:val="21"/>
          <w:szCs w:val="21"/>
          <w:highlight w:val="none"/>
        </w:rPr>
        <w:t>婴儿危害或影响小的药物，例如，患泌尿道感染时，替代磺胺类药的药物应选择</w:t>
      </w:r>
    </w:p>
    <w:p w14:paraId="09564AD8">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氯霉素</w:t>
      </w:r>
      <w:r>
        <w:rPr>
          <w:rFonts w:hint="eastAsia" w:ascii="宋体" w:hAnsi="宋体" w:eastAsia="宋体" w:cs="宋体"/>
          <w:b w:val="0"/>
          <w:bCs w:val="0"/>
          <w:color w:val="auto"/>
          <w:sz w:val="21"/>
          <w:szCs w:val="21"/>
          <w:highlight w:val="none"/>
        </w:rPr>
        <w:t xml:space="preserve"> </w:t>
      </w:r>
    </w:p>
    <w:p w14:paraId="73132EB7">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红霉素 </w:t>
      </w:r>
    </w:p>
    <w:p w14:paraId="448FB146">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氧氟沙星 </w:t>
      </w:r>
    </w:p>
    <w:p w14:paraId="7909F932">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阿米卡星 </w:t>
      </w:r>
    </w:p>
    <w:p w14:paraId="06D61F5E">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氨苄西林 </w:t>
      </w:r>
    </w:p>
    <w:p w14:paraId="4810C3C0">
      <w:pPr>
        <w:pStyle w:val="6"/>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z w:val="21"/>
          <w:szCs w:val="21"/>
          <w:highlight w:val="none"/>
        </w:rPr>
      </w:pPr>
      <w:r>
        <w:rPr>
          <w:rStyle w:val="9"/>
          <w:rFonts w:hint="eastAsia" w:ascii="宋体" w:hAnsi="宋体" w:eastAsia="宋体" w:cs="宋体"/>
          <w:b w:val="0"/>
          <w:bCs w:val="0"/>
          <w:color w:val="auto"/>
          <w:sz w:val="21"/>
          <w:szCs w:val="21"/>
          <w:highlight w:val="none"/>
          <w:lang w:val="en-US" w:eastAsia="zh-CN"/>
        </w:rPr>
        <w:t>24</w:t>
      </w:r>
      <w:r>
        <w:rPr>
          <w:rStyle w:val="9"/>
          <w:rFonts w:hint="eastAsia" w:ascii="宋体" w:hAnsi="宋体" w:eastAsia="宋体" w:cs="宋体"/>
          <w:b w:val="0"/>
          <w:bCs w:val="0"/>
          <w:color w:val="auto"/>
          <w:sz w:val="21"/>
          <w:szCs w:val="21"/>
          <w:highlight w:val="none"/>
          <w:lang w:eastAsia="zh-CN"/>
        </w:rPr>
        <w:t>.</w:t>
      </w:r>
      <w:r>
        <w:rPr>
          <w:rStyle w:val="9"/>
          <w:rFonts w:hint="eastAsia" w:ascii="宋体" w:hAnsi="宋体" w:eastAsia="宋体" w:cs="宋体"/>
          <w:b w:val="0"/>
          <w:bCs w:val="0"/>
          <w:color w:val="auto"/>
          <w:sz w:val="21"/>
          <w:szCs w:val="21"/>
          <w:highlight w:val="none"/>
        </w:rPr>
        <w:t>驾驶人员出现胃肠道绞痛，不能使用含有阿托品等成分的解痉药的最主要原因是</w:t>
      </w:r>
    </w:p>
    <w:p w14:paraId="1D5BE893">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引起便秘 </w:t>
      </w:r>
    </w:p>
    <w:p w14:paraId="1C3E4FFC">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引起发热 </w:t>
      </w:r>
    </w:p>
    <w:p w14:paraId="2B116FA1">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引起腹胀和尿潴留 </w:t>
      </w:r>
    </w:p>
    <w:p w14:paraId="4DCF66A0">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引起心动过速 </w:t>
      </w:r>
    </w:p>
    <w:p w14:paraId="6628B928">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引起视物模糊</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口干等不良反应 </w:t>
      </w:r>
    </w:p>
    <w:p w14:paraId="695DA66C">
      <w:pPr>
        <w:pStyle w:val="6"/>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z w:val="21"/>
          <w:szCs w:val="21"/>
          <w:highlight w:val="none"/>
        </w:rPr>
      </w:pPr>
      <w:r>
        <w:rPr>
          <w:rStyle w:val="9"/>
          <w:rFonts w:hint="eastAsia" w:ascii="宋体" w:hAnsi="宋体" w:eastAsia="宋体" w:cs="宋体"/>
          <w:b w:val="0"/>
          <w:bCs w:val="0"/>
          <w:color w:val="auto"/>
          <w:sz w:val="21"/>
          <w:szCs w:val="21"/>
          <w:highlight w:val="none"/>
          <w:lang w:val="en-US" w:eastAsia="zh-CN"/>
        </w:rPr>
        <w:t>25</w:t>
      </w:r>
      <w:r>
        <w:rPr>
          <w:rStyle w:val="9"/>
          <w:rFonts w:hint="eastAsia" w:ascii="宋体" w:hAnsi="宋体" w:eastAsia="宋体" w:cs="宋体"/>
          <w:b w:val="0"/>
          <w:bCs w:val="0"/>
          <w:color w:val="auto"/>
          <w:sz w:val="21"/>
          <w:szCs w:val="21"/>
          <w:highlight w:val="none"/>
          <w:lang w:eastAsia="zh-CN"/>
        </w:rPr>
        <w:t>.</w:t>
      </w:r>
      <w:r>
        <w:rPr>
          <w:rStyle w:val="9"/>
          <w:rFonts w:hint="eastAsia" w:ascii="宋体" w:hAnsi="宋体" w:eastAsia="宋体" w:cs="宋体"/>
          <w:b w:val="0"/>
          <w:bCs w:val="0"/>
          <w:color w:val="auto"/>
          <w:sz w:val="21"/>
          <w:szCs w:val="21"/>
          <w:highlight w:val="none"/>
        </w:rPr>
        <w:t>妊娠期用药最危险的级别是</w:t>
      </w:r>
    </w:p>
    <w:p w14:paraId="24E23731">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F</w:t>
      </w:r>
      <w:r>
        <w:rPr>
          <w:rFonts w:hint="eastAsia" w:ascii="宋体" w:hAnsi="宋体" w:eastAsia="宋体" w:cs="宋体"/>
          <w:b w:val="0"/>
          <w:bCs w:val="0"/>
          <w:color w:val="auto"/>
          <w:sz w:val="21"/>
          <w:szCs w:val="21"/>
          <w:highlight w:val="none"/>
        </w:rPr>
        <w:t xml:space="preserve">级 </w:t>
      </w:r>
    </w:p>
    <w:p w14:paraId="7ECCDCFF">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B级 </w:t>
      </w:r>
    </w:p>
    <w:p w14:paraId="17D064D7">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C级 </w:t>
      </w:r>
    </w:p>
    <w:p w14:paraId="05C960D3">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D级 </w:t>
      </w:r>
    </w:p>
    <w:p w14:paraId="7BE9D07F">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X级 </w:t>
      </w:r>
    </w:p>
    <w:p w14:paraId="7DBDAD8D">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26</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对咨询药师的要求是   </w:t>
      </w:r>
    </w:p>
    <w:p w14:paraId="336C6369">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应具有主管药师及以上专业技术职务任职资格  </w:t>
      </w:r>
    </w:p>
    <w:p w14:paraId="5AF1C83D">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必须是临床药师</w:t>
      </w:r>
    </w:p>
    <w:p w14:paraId="24C40C84">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应具有药师及以上职称  </w:t>
      </w:r>
    </w:p>
    <w:p w14:paraId="1AB6D80A">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必须经过药物治疗管理培训</w:t>
      </w:r>
    </w:p>
    <w:p w14:paraId="49B414F4">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应具有药士及以上职称</w:t>
      </w:r>
    </w:p>
    <w:p w14:paraId="093B272F">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27</w:t>
      </w:r>
      <w:r>
        <w:rPr>
          <w:rFonts w:hint="eastAsia" w:ascii="宋体" w:hAnsi="宋体" w:eastAsia="宋体" w:cs="宋体"/>
          <w:b w:val="0"/>
          <w:bCs w:val="0"/>
          <w:color w:val="auto"/>
          <w:sz w:val="21"/>
          <w:szCs w:val="21"/>
          <w:highlight w:val="none"/>
        </w:rPr>
        <w:t>.自从一权威文献报道盲目使用白蛋白可导致死亡病例之后，临床医师开始改变滥用白蛋白的行为，此例属于</w:t>
      </w:r>
    </w:p>
    <w:p w14:paraId="2DB9DFBC">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药品利用研究应用      </w:t>
      </w:r>
    </w:p>
    <w:p w14:paraId="518E1196">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循证医学实践应用   </w:t>
      </w:r>
    </w:p>
    <w:p w14:paraId="0A0DF47B">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药物经济学研究应用   </w:t>
      </w:r>
    </w:p>
    <w:p w14:paraId="52E6D311">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药物不良反应研究应用     </w:t>
      </w:r>
    </w:p>
    <w:p w14:paraId="3FFB8C74">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药物流行病学研究应用</w:t>
      </w:r>
    </w:p>
    <w:p w14:paraId="12D8C35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28</w:t>
      </w:r>
      <w:r>
        <w:rPr>
          <w:rFonts w:hint="eastAsia" w:ascii="宋体" w:hAnsi="宋体" w:eastAsia="宋体" w:cs="宋体"/>
          <w:b w:val="0"/>
          <w:bCs w:val="0"/>
          <w:color w:val="auto"/>
          <w:sz w:val="21"/>
          <w:szCs w:val="21"/>
          <w:highlight w:val="none"/>
          <w:lang w:eastAsia="zh-CN"/>
        </w:rPr>
        <w:t>.药物制剂中金属离子的主要来源</w:t>
      </w:r>
      <w:r>
        <w:rPr>
          <w:rFonts w:hint="eastAsia" w:ascii="宋体" w:hAnsi="宋体" w:eastAsia="宋体" w:cs="宋体"/>
          <w:b w:val="0"/>
          <w:bCs w:val="0"/>
          <w:color w:val="auto"/>
          <w:sz w:val="21"/>
          <w:szCs w:val="21"/>
          <w:highlight w:val="none"/>
          <w:lang w:val="en-US" w:eastAsia="zh-CN"/>
        </w:rPr>
        <w:t>不包括</w:t>
      </w:r>
    </w:p>
    <w:p w14:paraId="22BDA76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A.容器 </w:t>
      </w:r>
    </w:p>
    <w:p w14:paraId="73DDDF5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B.分析试剂 </w:t>
      </w:r>
    </w:p>
    <w:p w14:paraId="26E8FF1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C.溶剂 </w:t>
      </w:r>
    </w:p>
    <w:p w14:paraId="1E0DAEB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D.制备用具 </w:t>
      </w:r>
    </w:p>
    <w:p w14:paraId="7DBC646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E.原辅料 </w:t>
      </w:r>
    </w:p>
    <w:p w14:paraId="44DD2404">
      <w:pPr>
        <w:pStyle w:val="15"/>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Style w:val="14"/>
          <w:rFonts w:hint="eastAsia" w:cs="宋体"/>
          <w:b w:val="0"/>
          <w:bCs w:val="0"/>
          <w:color w:val="auto"/>
          <w:sz w:val="21"/>
          <w:szCs w:val="21"/>
          <w:highlight w:val="none"/>
          <w:lang w:val="en-US" w:eastAsia="zh-CN"/>
        </w:rPr>
        <w:t>2</w:t>
      </w:r>
      <w:r>
        <w:rPr>
          <w:rStyle w:val="14"/>
          <w:rFonts w:hint="eastAsia" w:ascii="宋体" w:hAnsi="宋体" w:eastAsia="宋体" w:cs="宋体"/>
          <w:b w:val="0"/>
          <w:bCs w:val="0"/>
          <w:color w:val="auto"/>
          <w:sz w:val="21"/>
          <w:szCs w:val="21"/>
          <w:highlight w:val="none"/>
          <w:lang w:val="en-US" w:eastAsia="zh-CN"/>
        </w:rPr>
        <w:t>9</w:t>
      </w:r>
      <w:r>
        <w:rPr>
          <w:rStyle w:val="14"/>
          <w:rFonts w:hint="eastAsia" w:ascii="宋体" w:hAnsi="宋体" w:eastAsia="宋体" w:cs="宋体"/>
          <w:b w:val="0"/>
          <w:bCs w:val="0"/>
          <w:color w:val="auto"/>
          <w:sz w:val="21"/>
          <w:szCs w:val="21"/>
          <w:highlight w:val="none"/>
          <w:lang w:eastAsia="zh-CN"/>
        </w:rPr>
        <w:t>.</w:t>
      </w:r>
      <w:r>
        <w:rPr>
          <w:rStyle w:val="14"/>
          <w:rFonts w:hint="eastAsia" w:ascii="宋体" w:hAnsi="宋体" w:eastAsia="宋体" w:cs="宋体"/>
          <w:b w:val="0"/>
          <w:bCs w:val="0"/>
          <w:color w:val="auto"/>
          <w:sz w:val="21"/>
          <w:szCs w:val="21"/>
          <w:highlight w:val="none"/>
        </w:rPr>
        <w:t>麻醉药品和第一类精神药品处方保存期限为几年</w:t>
      </w:r>
    </w:p>
    <w:p w14:paraId="7458D8F6">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A</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1年 </w:t>
      </w:r>
    </w:p>
    <w:p w14:paraId="6BC3C381">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B</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2年 </w:t>
      </w:r>
    </w:p>
    <w:p w14:paraId="55A6BE70">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C</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3年 </w:t>
      </w:r>
    </w:p>
    <w:p w14:paraId="699AE8DD">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D</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 xml:space="preserve">4年 </w:t>
      </w:r>
    </w:p>
    <w:p w14:paraId="4CE9C807">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0"/>
          <w:sz w:val="21"/>
          <w:szCs w:val="21"/>
          <w:highlight w:val="none"/>
          <w:lang w:val="en-US" w:eastAsia="zh-CN"/>
        </w:rPr>
        <w:t>E.5年</w:t>
      </w:r>
      <w:r>
        <w:rPr>
          <w:rFonts w:hint="eastAsia" w:ascii="宋体" w:hAnsi="宋体" w:eastAsia="宋体" w:cs="宋体"/>
          <w:b w:val="0"/>
          <w:bCs w:val="0"/>
          <w:color w:val="auto"/>
          <w:kern w:val="0"/>
          <w:sz w:val="21"/>
          <w:szCs w:val="21"/>
          <w:highlight w:val="none"/>
        </w:rPr>
        <w:t xml:space="preserve"> </w:t>
      </w:r>
      <w:r>
        <w:rPr>
          <w:rFonts w:hint="eastAsia" w:ascii="宋体" w:hAnsi="宋体" w:eastAsia="宋体" w:cs="宋体"/>
          <w:b w:val="0"/>
          <w:bCs w:val="0"/>
          <w:color w:val="auto"/>
          <w:kern w:val="0"/>
          <w:sz w:val="21"/>
          <w:szCs w:val="21"/>
          <w:highlight w:val="none"/>
        </w:rPr>
        <w:br w:type="textWrapping"/>
      </w:r>
      <w:r>
        <w:rPr>
          <w:rFonts w:hint="eastAsia" w:ascii="宋体" w:hAnsi="宋体" w:eastAsia="宋体" w:cs="宋体"/>
          <w:b w:val="0"/>
          <w:bCs w:val="0"/>
          <w:color w:val="auto"/>
          <w:sz w:val="21"/>
          <w:szCs w:val="21"/>
          <w:highlight w:val="none"/>
          <w:lang w:val="en-US" w:eastAsia="zh-CN"/>
        </w:rPr>
        <w:t>30</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下列一般不属于护士用药咨询的主要内容是</w:t>
      </w:r>
    </w:p>
    <w:p w14:paraId="1559C5F9">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A.药物的适当溶剂   </w:t>
      </w:r>
    </w:p>
    <w:p w14:paraId="0231928D">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B.药物的稀释容积  </w:t>
      </w:r>
    </w:p>
    <w:p w14:paraId="49C8DC90">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C.注射药物的滴速   </w:t>
      </w:r>
    </w:p>
    <w:p w14:paraId="53D50CD6">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D.药物的给药方案   </w:t>
      </w:r>
    </w:p>
    <w:p w14:paraId="6D8F1A95">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E.药物配伍禁忌</w:t>
      </w:r>
    </w:p>
    <w:p w14:paraId="04026A7E">
      <w:pPr>
        <w:spacing w:before="0" w:after="0" w:line="400" w:lineRule="exact"/>
        <w:rPr>
          <w:highlight w:val="none"/>
        </w:rPr>
      </w:pPr>
      <w:r>
        <w:rPr>
          <w:rFonts w:hint="eastAsia" w:ascii="宋体" w:hAnsi="宋体" w:eastAsia="宋体" w:cs="宋体"/>
          <w:sz w:val="26"/>
          <w:highlight w:val="none"/>
          <w:lang w:val="en-US" w:eastAsia="zh-CN"/>
        </w:rPr>
        <w:t>31</w:t>
      </w:r>
      <w:r>
        <w:rPr>
          <w:rFonts w:ascii="宋体" w:hAnsi="宋体" w:eastAsia="宋体" w:cs="宋体"/>
          <w:sz w:val="26"/>
          <w:highlight w:val="none"/>
        </w:rPr>
        <w:t>、下列药物中，适宜睡前服用的是</w:t>
      </w:r>
    </w:p>
    <w:p w14:paraId="06E3AB7B">
      <w:pPr>
        <w:spacing w:before="0" w:after="0" w:line="400" w:lineRule="exact"/>
        <w:rPr>
          <w:highlight w:val="none"/>
        </w:rPr>
      </w:pPr>
      <w:r>
        <w:rPr>
          <w:rFonts w:ascii="宋体" w:hAnsi="宋体" w:eastAsia="宋体" w:cs="宋体"/>
          <w:sz w:val="26"/>
          <w:highlight w:val="none"/>
        </w:rPr>
        <w:t>A、肾上腺皮质激素类</w:t>
      </w:r>
    </w:p>
    <w:p w14:paraId="4F25BE4A">
      <w:pPr>
        <w:spacing w:before="0" w:after="0" w:line="400" w:lineRule="exact"/>
        <w:rPr>
          <w:highlight w:val="none"/>
        </w:rPr>
      </w:pPr>
      <w:r>
        <w:rPr>
          <w:rFonts w:ascii="宋体" w:hAnsi="宋体" w:eastAsia="宋体" w:cs="宋体"/>
          <w:sz w:val="26"/>
          <w:highlight w:val="none"/>
        </w:rPr>
        <w:t>B、驱虫药</w:t>
      </w:r>
    </w:p>
    <w:p w14:paraId="67BB4F82">
      <w:pPr>
        <w:spacing w:before="0" w:after="0" w:line="400" w:lineRule="exact"/>
        <w:rPr>
          <w:highlight w:val="none"/>
        </w:rPr>
      </w:pPr>
      <w:r>
        <w:rPr>
          <w:rFonts w:ascii="宋体" w:hAnsi="宋体" w:eastAsia="宋体" w:cs="宋体"/>
          <w:sz w:val="26"/>
          <w:highlight w:val="none"/>
        </w:rPr>
        <w:t>C、阿司匹林</w:t>
      </w:r>
    </w:p>
    <w:p w14:paraId="04E8D82F">
      <w:pPr>
        <w:spacing w:before="0" w:after="0" w:line="400" w:lineRule="exact"/>
        <w:rPr>
          <w:highlight w:val="none"/>
        </w:rPr>
      </w:pPr>
      <w:r>
        <w:rPr>
          <w:rFonts w:ascii="宋体" w:hAnsi="宋体" w:eastAsia="宋体" w:cs="宋体"/>
          <w:sz w:val="26"/>
          <w:highlight w:val="none"/>
        </w:rPr>
        <w:t>D、苯海拉明等抗过敏药</w:t>
      </w:r>
    </w:p>
    <w:p w14:paraId="3086A529">
      <w:pPr>
        <w:spacing w:before="0" w:after="0" w:line="400" w:lineRule="exact"/>
        <w:rPr>
          <w:highlight w:val="none"/>
        </w:rPr>
      </w:pPr>
      <w:r>
        <w:rPr>
          <w:rFonts w:ascii="宋体" w:hAnsi="宋体" w:eastAsia="宋体" w:cs="宋体"/>
          <w:sz w:val="26"/>
          <w:highlight w:val="none"/>
        </w:rPr>
        <w:t>E、抗高血压药</w:t>
      </w:r>
    </w:p>
    <w:p w14:paraId="6E93A79A">
      <w:pPr>
        <w:spacing w:before="0" w:after="0" w:line="400" w:lineRule="exact"/>
        <w:rPr>
          <w:highlight w:val="none"/>
        </w:rPr>
      </w:pPr>
      <w:r>
        <w:rPr>
          <w:rFonts w:hint="eastAsia" w:ascii="宋体" w:hAnsi="宋体" w:eastAsia="宋体" w:cs="宋体"/>
          <w:sz w:val="26"/>
          <w:highlight w:val="none"/>
          <w:lang w:val="en-US" w:eastAsia="zh-CN"/>
        </w:rPr>
        <w:t>32</w:t>
      </w:r>
      <w:r>
        <w:rPr>
          <w:rFonts w:ascii="宋体" w:hAnsi="宋体" w:eastAsia="宋体" w:cs="宋体"/>
          <w:sz w:val="26"/>
          <w:highlight w:val="none"/>
        </w:rPr>
        <w:t>、药师在处理投诉时原则上应先处理的投诉类型是（）</w:t>
      </w:r>
    </w:p>
    <w:p w14:paraId="4BCF0E86">
      <w:pPr>
        <w:spacing w:before="0" w:after="0" w:line="400" w:lineRule="exact"/>
        <w:rPr>
          <w:highlight w:val="none"/>
        </w:rPr>
      </w:pPr>
      <w:r>
        <w:rPr>
          <w:rFonts w:ascii="宋体" w:hAnsi="宋体" w:eastAsia="宋体" w:cs="宋体"/>
          <w:sz w:val="26"/>
          <w:highlight w:val="none"/>
        </w:rPr>
        <w:t>A、药品数量</w:t>
      </w:r>
    </w:p>
    <w:p w14:paraId="5572E048">
      <w:pPr>
        <w:spacing w:before="0" w:after="0" w:line="400" w:lineRule="exact"/>
        <w:rPr>
          <w:highlight w:val="none"/>
        </w:rPr>
      </w:pPr>
      <w:r>
        <w:rPr>
          <w:rFonts w:ascii="宋体" w:hAnsi="宋体" w:eastAsia="宋体" w:cs="宋体"/>
          <w:sz w:val="26"/>
          <w:highlight w:val="none"/>
        </w:rPr>
        <w:t>B、用药后发生严重不良反应</w:t>
      </w:r>
    </w:p>
    <w:p w14:paraId="68E59C9D">
      <w:pPr>
        <w:spacing w:before="0" w:after="0" w:line="400" w:lineRule="exact"/>
        <w:rPr>
          <w:highlight w:val="none"/>
        </w:rPr>
      </w:pPr>
      <w:r>
        <w:rPr>
          <w:rFonts w:ascii="宋体" w:hAnsi="宋体" w:eastAsia="宋体" w:cs="宋体"/>
          <w:sz w:val="26"/>
          <w:highlight w:val="none"/>
        </w:rPr>
        <w:t>C、价格异议</w:t>
      </w:r>
    </w:p>
    <w:p w14:paraId="64BAA0DF">
      <w:pPr>
        <w:spacing w:before="0" w:after="0" w:line="400" w:lineRule="exact"/>
        <w:rPr>
          <w:highlight w:val="none"/>
        </w:rPr>
      </w:pPr>
      <w:r>
        <w:rPr>
          <w:rFonts w:ascii="宋体" w:hAnsi="宋体" w:eastAsia="宋体" w:cs="宋体"/>
          <w:sz w:val="26"/>
          <w:highlight w:val="none"/>
        </w:rPr>
        <w:t>D、服务态度和质量</w:t>
      </w:r>
    </w:p>
    <w:p w14:paraId="548647B6">
      <w:pPr>
        <w:spacing w:before="0" w:after="0" w:line="400" w:lineRule="exact"/>
        <w:rPr>
          <w:highlight w:val="none"/>
        </w:rPr>
      </w:pPr>
      <w:r>
        <w:rPr>
          <w:rFonts w:ascii="宋体" w:hAnsi="宋体" w:eastAsia="宋体" w:cs="宋体"/>
          <w:sz w:val="26"/>
          <w:highlight w:val="none"/>
        </w:rPr>
        <w:t>E、退药</w:t>
      </w:r>
    </w:p>
    <w:p w14:paraId="53A80E34">
      <w:pPr>
        <w:spacing w:before="0" w:after="0" w:line="400" w:lineRule="exact"/>
        <w:rPr>
          <w:highlight w:val="none"/>
        </w:rPr>
      </w:pPr>
      <w:r>
        <w:rPr>
          <w:rFonts w:hint="eastAsia" w:ascii="宋体" w:hAnsi="宋体" w:eastAsia="宋体" w:cs="宋体"/>
          <w:sz w:val="26"/>
          <w:highlight w:val="none"/>
          <w:lang w:val="en-US" w:eastAsia="zh-CN"/>
        </w:rPr>
        <w:t>33</w:t>
      </w:r>
      <w:r>
        <w:rPr>
          <w:rFonts w:ascii="宋体" w:hAnsi="宋体" w:eastAsia="宋体" w:cs="宋体"/>
          <w:sz w:val="26"/>
          <w:highlight w:val="none"/>
        </w:rPr>
        <w:t>、不是过敏性鼻炎的临床主要表现</w:t>
      </w:r>
    </w:p>
    <w:p w14:paraId="76D5ACA6">
      <w:pPr>
        <w:spacing w:before="0" w:after="0" w:line="400" w:lineRule="exact"/>
        <w:rPr>
          <w:highlight w:val="none"/>
        </w:rPr>
      </w:pPr>
      <w:r>
        <w:rPr>
          <w:rFonts w:ascii="宋体" w:hAnsi="宋体" w:eastAsia="宋体" w:cs="宋体"/>
          <w:sz w:val="26"/>
          <w:highlight w:val="none"/>
        </w:rPr>
        <w:t>A、畏光</w:t>
      </w:r>
    </w:p>
    <w:p w14:paraId="45FA311A">
      <w:pPr>
        <w:spacing w:before="0" w:after="0" w:line="400" w:lineRule="exact"/>
        <w:rPr>
          <w:highlight w:val="none"/>
        </w:rPr>
      </w:pPr>
      <w:r>
        <w:rPr>
          <w:rFonts w:ascii="宋体" w:hAnsi="宋体" w:eastAsia="宋体" w:cs="宋体"/>
          <w:sz w:val="26"/>
          <w:highlight w:val="none"/>
        </w:rPr>
        <w:t>B、打喷嚏</w:t>
      </w:r>
    </w:p>
    <w:p w14:paraId="45BA0951">
      <w:pPr>
        <w:spacing w:before="0" w:after="0" w:line="400" w:lineRule="exact"/>
        <w:rPr>
          <w:highlight w:val="none"/>
        </w:rPr>
      </w:pPr>
      <w:r>
        <w:rPr>
          <w:rFonts w:ascii="宋体" w:hAnsi="宋体" w:eastAsia="宋体" w:cs="宋体"/>
          <w:sz w:val="26"/>
          <w:highlight w:val="none"/>
        </w:rPr>
        <w:t>C、流涕</w:t>
      </w:r>
    </w:p>
    <w:p w14:paraId="129EC5CC">
      <w:pPr>
        <w:spacing w:before="0" w:after="0" w:line="400" w:lineRule="exact"/>
        <w:rPr>
          <w:highlight w:val="none"/>
        </w:rPr>
      </w:pPr>
      <w:r>
        <w:rPr>
          <w:rFonts w:ascii="宋体" w:hAnsi="宋体" w:eastAsia="宋体" w:cs="宋体"/>
          <w:sz w:val="26"/>
          <w:highlight w:val="none"/>
        </w:rPr>
        <w:t>D、鼻痒</w:t>
      </w:r>
    </w:p>
    <w:p w14:paraId="2016D908">
      <w:pPr>
        <w:spacing w:before="0" w:after="0" w:line="400" w:lineRule="exact"/>
        <w:rPr>
          <w:highlight w:val="none"/>
        </w:rPr>
      </w:pPr>
      <w:r>
        <w:rPr>
          <w:rFonts w:ascii="宋体" w:hAnsi="宋体" w:eastAsia="宋体" w:cs="宋体"/>
          <w:sz w:val="26"/>
          <w:highlight w:val="none"/>
        </w:rPr>
        <w:t>E、鼻塞</w:t>
      </w:r>
    </w:p>
    <w:p w14:paraId="26F6B325">
      <w:pPr>
        <w:spacing w:before="0" w:after="0" w:line="400" w:lineRule="exact"/>
        <w:rPr>
          <w:highlight w:val="none"/>
        </w:rPr>
      </w:pPr>
      <w:r>
        <w:rPr>
          <w:rFonts w:hint="eastAsia" w:ascii="宋体" w:hAnsi="宋体" w:eastAsia="宋体" w:cs="宋体"/>
          <w:sz w:val="26"/>
          <w:highlight w:val="none"/>
          <w:lang w:val="en-US" w:eastAsia="zh-CN"/>
        </w:rPr>
        <w:t>34</w:t>
      </w:r>
      <w:r>
        <w:rPr>
          <w:rFonts w:ascii="宋体" w:hAnsi="宋体" w:eastAsia="宋体" w:cs="宋体"/>
          <w:sz w:val="26"/>
          <w:highlight w:val="none"/>
        </w:rPr>
        <w:t>、“畏光、流泪、异物感，较多黏液或黏液脓性分泌物”是沙眼（ ）的主要表现。</w:t>
      </w:r>
    </w:p>
    <w:p w14:paraId="62E5CBE3">
      <w:pPr>
        <w:spacing w:before="0" w:after="0" w:line="400" w:lineRule="exact"/>
        <w:rPr>
          <w:highlight w:val="none"/>
        </w:rPr>
      </w:pPr>
      <w:r>
        <w:rPr>
          <w:rFonts w:ascii="宋体" w:hAnsi="宋体" w:eastAsia="宋体" w:cs="宋体"/>
          <w:sz w:val="26"/>
          <w:highlight w:val="none"/>
        </w:rPr>
        <w:t>A、第三期</w:t>
      </w:r>
    </w:p>
    <w:p w14:paraId="3587DD31">
      <w:pPr>
        <w:spacing w:before="0" w:after="0" w:line="400" w:lineRule="exact"/>
        <w:rPr>
          <w:highlight w:val="none"/>
        </w:rPr>
      </w:pPr>
      <w:r>
        <w:rPr>
          <w:rFonts w:ascii="宋体" w:hAnsi="宋体" w:eastAsia="宋体" w:cs="宋体"/>
          <w:sz w:val="26"/>
          <w:highlight w:val="none"/>
        </w:rPr>
        <w:t>B、第二期</w:t>
      </w:r>
    </w:p>
    <w:p w14:paraId="22EE75EA">
      <w:pPr>
        <w:spacing w:before="0" w:after="0" w:line="400" w:lineRule="exact"/>
        <w:rPr>
          <w:highlight w:val="none"/>
        </w:rPr>
      </w:pPr>
      <w:r>
        <w:rPr>
          <w:rFonts w:ascii="宋体" w:hAnsi="宋体" w:eastAsia="宋体" w:cs="宋体"/>
          <w:sz w:val="26"/>
          <w:highlight w:val="none"/>
        </w:rPr>
        <w:t>C、第五期</w:t>
      </w:r>
    </w:p>
    <w:p w14:paraId="1223D021">
      <w:pPr>
        <w:spacing w:before="0" w:after="0" w:line="400" w:lineRule="exact"/>
        <w:rPr>
          <w:highlight w:val="none"/>
        </w:rPr>
      </w:pPr>
      <w:r>
        <w:rPr>
          <w:rFonts w:ascii="宋体" w:hAnsi="宋体" w:eastAsia="宋体" w:cs="宋体"/>
          <w:sz w:val="26"/>
          <w:highlight w:val="none"/>
        </w:rPr>
        <w:t>D、第四期</w:t>
      </w:r>
    </w:p>
    <w:p w14:paraId="55F9A5F7">
      <w:pPr>
        <w:spacing w:before="0" w:after="0" w:line="400" w:lineRule="exact"/>
        <w:rPr>
          <w:highlight w:val="none"/>
        </w:rPr>
      </w:pPr>
      <w:r>
        <w:rPr>
          <w:rFonts w:ascii="宋体" w:hAnsi="宋体" w:eastAsia="宋体" w:cs="宋体"/>
          <w:sz w:val="26"/>
          <w:highlight w:val="none"/>
        </w:rPr>
        <w:t>E、第一期</w:t>
      </w:r>
    </w:p>
    <w:p w14:paraId="25D983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35.用药期间禁止饮酒，否则可出现面部潮红、头痛、眩晕等“双硫仑样反应”的药品是 </w:t>
      </w:r>
    </w:p>
    <w:p w14:paraId="65EDCE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A.青霉素钾      </w:t>
      </w:r>
    </w:p>
    <w:p w14:paraId="328483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B.庆大霉素</w:t>
      </w:r>
    </w:p>
    <w:p w14:paraId="3D4903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C.头孢哌酮      </w:t>
      </w:r>
    </w:p>
    <w:p w14:paraId="14DAA4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D.克林霉素</w:t>
      </w:r>
    </w:p>
    <w:p w14:paraId="283FE8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E.红霉素</w:t>
      </w:r>
    </w:p>
    <w:p w14:paraId="60053C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36.关于消化性溃疡抗HP的三联疗法，下列选项正确的是</w:t>
      </w:r>
    </w:p>
    <w:p w14:paraId="4E8810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A.奥美拉唑+阿莫西林+阿奇霉素       </w:t>
      </w:r>
    </w:p>
    <w:p w14:paraId="43CBA6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B.兰索拉唑+克拉霉素+甲硝唑</w:t>
      </w:r>
    </w:p>
    <w:p w14:paraId="1B1AE9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C.胶体次碳酸铋+硫糖铝+甲硝唑       </w:t>
      </w:r>
    </w:p>
    <w:p w14:paraId="04080B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D.兰索拉唑+阿莫西林+法莫替丁</w:t>
      </w:r>
    </w:p>
    <w:p w14:paraId="214B02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E.奥美拉唑+西米替丁+阿奇霉素</w:t>
      </w:r>
    </w:p>
    <w:p w14:paraId="3DE720E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37.对呼吸道有大量痰液并阻塞呼吸道，引起气急、窒息者，可及时应用</w:t>
      </w:r>
    </w:p>
    <w:p w14:paraId="715B5A3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A.苯丙哌林         </w:t>
      </w:r>
    </w:p>
    <w:p w14:paraId="27A2622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B.右美沙芬</w:t>
      </w:r>
    </w:p>
    <w:p w14:paraId="6B64ED6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C.喷托维林         </w:t>
      </w:r>
    </w:p>
    <w:p w14:paraId="6C74578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D.羧甲司坦</w:t>
      </w:r>
    </w:p>
    <w:p w14:paraId="2A9DD48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E.氨茶碱</w:t>
      </w:r>
    </w:p>
    <w:p w14:paraId="0A7AF2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38.糖皮质激素类药物与水盐代谢相关的不良反应是</w:t>
      </w:r>
    </w:p>
    <w:p w14:paraId="19FB8C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A.痤疮 </w:t>
      </w:r>
    </w:p>
    <w:p w14:paraId="47BC6D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B.多毛 </w:t>
      </w:r>
    </w:p>
    <w:p w14:paraId="4BD39C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C.胃、十二指肠溃疡 </w:t>
      </w:r>
    </w:p>
    <w:p w14:paraId="38C873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D.向心性肥胖 </w:t>
      </w:r>
    </w:p>
    <w:p w14:paraId="45D548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E.高血压 </w:t>
      </w:r>
    </w:p>
    <w:p w14:paraId="0B7272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39.急性胃肠炎的对症治疗中的解痉药是</w:t>
      </w:r>
    </w:p>
    <w:p w14:paraId="1CA407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A.氯丙嗪 </w:t>
      </w:r>
    </w:p>
    <w:p w14:paraId="2ED354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B.异丙嗪 </w:t>
      </w:r>
    </w:p>
    <w:p w14:paraId="5A36B0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C.颠茄浸膏 </w:t>
      </w:r>
    </w:p>
    <w:p w14:paraId="599CB5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D.思密达 </w:t>
      </w:r>
    </w:p>
    <w:p w14:paraId="0ACC95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E.黄连素 </w:t>
      </w:r>
    </w:p>
    <w:p w14:paraId="1512A7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40.华法林抗凝治疗时，INR需要维持在</w:t>
      </w:r>
    </w:p>
    <w:p w14:paraId="6844FD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A.1～2 </w:t>
      </w:r>
    </w:p>
    <w:p w14:paraId="7C5233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B.1.5～2.5 </w:t>
      </w:r>
    </w:p>
    <w:p w14:paraId="502258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C.2～3 </w:t>
      </w:r>
    </w:p>
    <w:p w14:paraId="16BCB6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D.2.5～3.5 </w:t>
      </w:r>
    </w:p>
    <w:p w14:paraId="0E3FB4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E.3～4 </w:t>
      </w:r>
    </w:p>
    <w:p w14:paraId="5B829C9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41.</w:t>
      </w:r>
      <w:r>
        <w:rPr>
          <w:rFonts w:hint="eastAsia" w:ascii="宋体" w:hAnsi="宋体" w:eastAsia="宋体" w:cs="宋体"/>
          <w:b w:val="0"/>
          <w:bCs w:val="0"/>
          <w:color w:val="auto"/>
          <w:sz w:val="21"/>
          <w:szCs w:val="21"/>
          <w:highlight w:val="none"/>
        </w:rPr>
        <w:t>关于浸出辅助剂作用的叙述，错误的是</w:t>
      </w:r>
    </w:p>
    <w:p w14:paraId="5D74937B">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A.增加浸出效能        </w:t>
      </w:r>
    </w:p>
    <w:p w14:paraId="7D5CDBD3">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B.增溶          </w:t>
      </w:r>
    </w:p>
    <w:p w14:paraId="513FB5A5">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C.增强药物疗效</w:t>
      </w:r>
    </w:p>
    <w:p w14:paraId="35D6570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D.减少或除去杂质      </w:t>
      </w:r>
    </w:p>
    <w:p w14:paraId="3810E15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E.增加制品的稳定性</w:t>
      </w:r>
    </w:p>
    <w:p w14:paraId="7C6265BD">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42</w:t>
      </w:r>
      <w:r>
        <w:rPr>
          <w:rFonts w:hint="eastAsia" w:ascii="宋体" w:hAnsi="宋体" w:eastAsia="宋体" w:cs="宋体"/>
          <w:b w:val="0"/>
          <w:bCs w:val="0"/>
          <w:color w:val="auto"/>
          <w:sz w:val="21"/>
          <w:szCs w:val="21"/>
          <w:highlight w:val="none"/>
        </w:rPr>
        <w:t>.下列不属于浸出辅助剂的是</w:t>
      </w:r>
    </w:p>
    <w:p w14:paraId="29A96FE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A.甘油    </w:t>
      </w:r>
    </w:p>
    <w:p w14:paraId="4344A1D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B.乙醇    </w:t>
      </w:r>
    </w:p>
    <w:p w14:paraId="67C2147B">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C.乙酸    </w:t>
      </w:r>
    </w:p>
    <w:p w14:paraId="634A64D5">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D.氨水    </w:t>
      </w:r>
    </w:p>
    <w:p w14:paraId="6D7108E5">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E.聚山梨酯</w:t>
      </w:r>
    </w:p>
    <w:p w14:paraId="02A67D2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43</w:t>
      </w:r>
      <w:r>
        <w:rPr>
          <w:rFonts w:hint="eastAsia" w:ascii="宋体" w:hAnsi="宋体" w:eastAsia="宋体" w:cs="宋体"/>
          <w:b w:val="0"/>
          <w:bCs w:val="0"/>
          <w:color w:val="auto"/>
          <w:sz w:val="21"/>
          <w:szCs w:val="21"/>
          <w:highlight w:val="none"/>
        </w:rPr>
        <w:t>.提取中药挥发油常选用的方法是</w:t>
      </w:r>
    </w:p>
    <w:p w14:paraId="58238A6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A.煎煮法  </w:t>
      </w:r>
    </w:p>
    <w:p w14:paraId="66BFC9E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浸渍法  </w:t>
      </w:r>
    </w:p>
    <w:p w14:paraId="613B579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渗漉法  </w:t>
      </w:r>
    </w:p>
    <w:p w14:paraId="0BB970B2">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D.水蒸气蒸馏法   </w:t>
      </w:r>
    </w:p>
    <w:p w14:paraId="6C4BA79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E.超声波提取法</w:t>
      </w:r>
    </w:p>
    <w:p w14:paraId="68DF353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44</w:t>
      </w:r>
      <w:r>
        <w:rPr>
          <w:rFonts w:hint="eastAsia" w:ascii="宋体" w:hAnsi="宋体" w:eastAsia="宋体" w:cs="宋体"/>
          <w:b w:val="0"/>
          <w:bCs w:val="0"/>
          <w:color w:val="auto"/>
          <w:sz w:val="21"/>
          <w:szCs w:val="21"/>
          <w:highlight w:val="none"/>
        </w:rPr>
        <w:t>.滤过除菌用微孔滤膜的孔径应为</w:t>
      </w:r>
    </w:p>
    <w:p w14:paraId="775CBFD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A.0.8μm    </w:t>
      </w:r>
    </w:p>
    <w:p w14:paraId="09B8CF4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B.0.22μm   </w:t>
      </w:r>
    </w:p>
    <w:p w14:paraId="0190E33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C.0.1μm   </w:t>
      </w:r>
    </w:p>
    <w:p w14:paraId="7597F08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D.0.8μm  </w:t>
      </w:r>
    </w:p>
    <w:p w14:paraId="5CF4033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E.1.0μm</w:t>
      </w:r>
    </w:p>
    <w:p w14:paraId="48C34B9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45.</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中国药典》</w:t>
      </w:r>
      <w:r>
        <w:rPr>
          <w:rFonts w:hint="eastAsia" w:ascii="宋体" w:hAnsi="宋体" w:eastAsia="宋体" w:cs="宋体"/>
          <w:b w:val="0"/>
          <w:bCs w:val="0"/>
          <w:color w:val="auto"/>
          <w:sz w:val="21"/>
          <w:szCs w:val="21"/>
          <w:highlight w:val="none"/>
          <w:lang w:val="en-US" w:eastAsia="zh-CN"/>
        </w:rPr>
        <w:t>现行版</w:t>
      </w:r>
      <w:r>
        <w:rPr>
          <w:rFonts w:hint="eastAsia" w:ascii="宋体" w:hAnsi="宋体" w:eastAsia="宋体" w:cs="宋体"/>
          <w:b w:val="0"/>
          <w:bCs w:val="0"/>
          <w:color w:val="auto"/>
          <w:sz w:val="21"/>
          <w:szCs w:val="21"/>
          <w:highlight w:val="none"/>
        </w:rPr>
        <w:t>规定的配制注射剂用水应是</w:t>
      </w:r>
    </w:p>
    <w:p w14:paraId="7930FC55">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A.纯净水    </w:t>
      </w:r>
    </w:p>
    <w:p w14:paraId="160EBE6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B.蒸馏水   </w:t>
      </w:r>
    </w:p>
    <w:p w14:paraId="6F4801B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C.去离子水    </w:t>
      </w:r>
    </w:p>
    <w:p w14:paraId="0441ABBB">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D.灭菌蒸馏水   </w:t>
      </w:r>
    </w:p>
    <w:p w14:paraId="28D6677B">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E.注射用水</w:t>
      </w:r>
    </w:p>
    <w:p w14:paraId="41A74A3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46</w:t>
      </w:r>
      <w:r>
        <w:rPr>
          <w:rFonts w:hint="eastAsia" w:ascii="宋体" w:hAnsi="宋体" w:eastAsia="宋体" w:cs="宋体"/>
          <w:b w:val="0"/>
          <w:bCs w:val="0"/>
          <w:color w:val="auto"/>
          <w:sz w:val="21"/>
          <w:szCs w:val="21"/>
          <w:highlight w:val="none"/>
        </w:rPr>
        <w:t>.灭菌的标准以杀灭</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为准</w:t>
      </w:r>
    </w:p>
    <w:p w14:paraId="7544E32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A.热原     </w:t>
      </w:r>
    </w:p>
    <w:p w14:paraId="09E2234B">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B.微生物    </w:t>
      </w:r>
    </w:p>
    <w:p w14:paraId="11EB8E1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C.细菌    </w:t>
      </w:r>
    </w:p>
    <w:p w14:paraId="33398C08">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D.芽胞</w:t>
      </w:r>
    </w:p>
    <w:p w14:paraId="66A4476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E.真菌</w:t>
      </w:r>
      <w:r>
        <w:rPr>
          <w:rFonts w:hint="eastAsia" w:ascii="宋体" w:hAnsi="宋体" w:eastAsia="宋体" w:cs="宋体"/>
          <w:b w:val="0"/>
          <w:bCs w:val="0"/>
          <w:color w:val="auto"/>
          <w:sz w:val="21"/>
          <w:szCs w:val="21"/>
          <w:highlight w:val="none"/>
        </w:rPr>
        <w:t xml:space="preserve">    </w:t>
      </w:r>
    </w:p>
    <w:p w14:paraId="4343429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47.</w:t>
      </w:r>
      <w:r>
        <w:rPr>
          <w:rFonts w:hint="eastAsia" w:ascii="宋体" w:hAnsi="宋体" w:eastAsia="宋体" w:cs="宋体"/>
          <w:b w:val="0"/>
          <w:bCs w:val="0"/>
          <w:color w:val="auto"/>
          <w:sz w:val="21"/>
          <w:szCs w:val="21"/>
          <w:highlight w:val="none"/>
        </w:rPr>
        <w:t>下列对热原性质的描述正确的是</w:t>
      </w:r>
    </w:p>
    <w:p w14:paraId="5755E01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A.有一定的耐热性</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不挥发      </w:t>
      </w:r>
    </w:p>
    <w:p w14:paraId="416EED7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B.有挥发性但可被吸附</w:t>
      </w:r>
    </w:p>
    <w:p w14:paraId="016E107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C.溶于水，不能被吸附          </w:t>
      </w:r>
    </w:p>
    <w:p w14:paraId="68A1460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D.有一定的耐热性</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不溶于水</w:t>
      </w:r>
    </w:p>
    <w:p w14:paraId="6825601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E.耐强酸</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强碱</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强氧化剂</w:t>
      </w:r>
    </w:p>
    <w:p w14:paraId="14DAA332">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48</w:t>
      </w:r>
      <w:r>
        <w:rPr>
          <w:rFonts w:hint="eastAsia" w:ascii="宋体" w:hAnsi="宋体" w:eastAsia="宋体" w:cs="宋体"/>
          <w:b w:val="0"/>
          <w:bCs w:val="0"/>
          <w:color w:val="auto"/>
          <w:sz w:val="21"/>
          <w:szCs w:val="21"/>
          <w:highlight w:val="none"/>
        </w:rPr>
        <w:t>.热压灭菌所用的蒸气是</w:t>
      </w:r>
    </w:p>
    <w:p w14:paraId="271C2D3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A.过饱和蒸气      </w:t>
      </w:r>
    </w:p>
    <w:p w14:paraId="2EB045DD">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B.饱和蒸气        </w:t>
      </w:r>
    </w:p>
    <w:p w14:paraId="0835D48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C.过热蒸气</w:t>
      </w:r>
    </w:p>
    <w:p w14:paraId="2A37A055">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D.流通蒸气        </w:t>
      </w:r>
    </w:p>
    <w:p w14:paraId="2D10193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E.不饱和蒸气</w:t>
      </w:r>
    </w:p>
    <w:p w14:paraId="0CB1B80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49</w:t>
      </w:r>
      <w:r>
        <w:rPr>
          <w:rFonts w:hint="eastAsia" w:ascii="宋体" w:hAnsi="宋体" w:eastAsia="宋体" w:cs="宋体"/>
          <w:b w:val="0"/>
          <w:bCs w:val="0"/>
          <w:color w:val="auto"/>
          <w:sz w:val="21"/>
          <w:szCs w:val="21"/>
          <w:highlight w:val="none"/>
        </w:rPr>
        <w:t>.关于注射剂特点描述错误的是</w:t>
      </w:r>
    </w:p>
    <w:p w14:paraId="073002E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A.药效迅速作用可靠           </w:t>
      </w:r>
    </w:p>
    <w:p w14:paraId="19A20B2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B.适用于不宜口服的药物</w:t>
      </w:r>
    </w:p>
    <w:p w14:paraId="07EA219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C.适用于不能口服给药的病人   </w:t>
      </w:r>
    </w:p>
    <w:p w14:paraId="33794B2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D.可以产生局部定位作用</w:t>
      </w:r>
    </w:p>
    <w:p w14:paraId="767869B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E.使用方便</w:t>
      </w:r>
    </w:p>
    <w:p w14:paraId="52D0426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.注射剂的</w:t>
      </w:r>
      <w:r>
        <w:rPr>
          <w:rFonts w:hint="eastAsia" w:ascii="宋体" w:hAnsi="宋体" w:eastAsia="宋体" w:cs="宋体"/>
          <w:b w:val="0"/>
          <w:bCs w:val="0"/>
          <w:color w:val="auto"/>
          <w:sz w:val="21"/>
          <w:szCs w:val="21"/>
          <w:highlight w:val="none"/>
          <w:lang w:val="en-US" w:eastAsia="zh-CN"/>
        </w:rPr>
        <w:t>p</w:t>
      </w:r>
      <w:r>
        <w:rPr>
          <w:rFonts w:hint="eastAsia" w:ascii="宋体" w:hAnsi="宋体" w:eastAsia="宋体" w:cs="宋体"/>
          <w:b w:val="0"/>
          <w:bCs w:val="0"/>
          <w:color w:val="auto"/>
          <w:sz w:val="21"/>
          <w:szCs w:val="21"/>
          <w:highlight w:val="none"/>
        </w:rPr>
        <w:t>H一般控制的范围是</w:t>
      </w:r>
    </w:p>
    <w:p w14:paraId="426BE00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A.3.5～11     </w:t>
      </w:r>
    </w:p>
    <w:p w14:paraId="2AE5E2F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B.4～9     </w:t>
      </w:r>
    </w:p>
    <w:p w14:paraId="6C48348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C.5～10     </w:t>
      </w:r>
    </w:p>
    <w:p w14:paraId="6D47F92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D.3～7     </w:t>
      </w:r>
    </w:p>
    <w:p w14:paraId="62D6D9F8">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E.6～8</w:t>
      </w:r>
    </w:p>
    <w:p w14:paraId="066E1DF6">
      <w:pPr>
        <w:pStyle w:val="2"/>
        <w:spacing w:before="0" w:after="0"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51</w:t>
      </w:r>
      <w:r>
        <w:rPr>
          <w:rFonts w:hint="eastAsia" w:ascii="宋体" w:hAnsi="宋体" w:eastAsia="宋体" w:cs="宋体"/>
          <w:b w:val="0"/>
          <w:bCs w:val="0"/>
          <w:color w:val="auto"/>
          <w:sz w:val="21"/>
          <w:szCs w:val="21"/>
          <w:highlight w:val="none"/>
        </w:rPr>
        <w:t>.下列适合制成胶囊剂的药物是</w:t>
      </w:r>
    </w:p>
    <w:p w14:paraId="48924548">
      <w:pPr>
        <w:pStyle w:val="6"/>
        <w:spacing w:before="0" w:beforeAutospacing="0" w:after="0" w:afterAutospacing="0" w:line="360" w:lineRule="auto"/>
        <w:rPr>
          <w:rFonts w:hint="eastAsia" w:ascii="宋体" w:hAnsi="宋体" w:eastAsia="宋体" w:cs="宋体"/>
          <w:b w:val="0"/>
          <w:bCs w:val="0"/>
          <w:color w:val="auto"/>
          <w:sz w:val="21"/>
          <w:highlight w:val="none"/>
        </w:rPr>
      </w:pPr>
      <w:r>
        <w:rPr>
          <w:rFonts w:hint="eastAsia" w:ascii="宋体" w:hAnsi="宋体" w:eastAsia="宋体" w:cs="宋体"/>
          <w:b w:val="0"/>
          <w:bCs w:val="0"/>
          <w:color w:val="auto"/>
          <w:sz w:val="21"/>
          <w:highlight w:val="none"/>
        </w:rPr>
        <w:t>A</w:t>
      </w:r>
      <w:r>
        <w:rPr>
          <w:rFonts w:hint="eastAsia" w:ascii="宋体" w:hAnsi="宋体" w:eastAsia="宋体" w:cs="宋体"/>
          <w:b w:val="0"/>
          <w:bCs w:val="0"/>
          <w:color w:val="auto"/>
          <w:sz w:val="21"/>
          <w:highlight w:val="none"/>
          <w:lang w:val="en-US" w:eastAsia="zh-CN"/>
        </w:rPr>
        <w:t>.</w:t>
      </w:r>
      <w:r>
        <w:rPr>
          <w:rFonts w:hint="eastAsia" w:ascii="宋体" w:hAnsi="宋体" w:eastAsia="宋体" w:cs="宋体"/>
          <w:b w:val="0"/>
          <w:bCs w:val="0"/>
          <w:color w:val="auto"/>
          <w:sz w:val="21"/>
          <w:highlight w:val="none"/>
        </w:rPr>
        <w:t>易风化的药物 </w:t>
      </w:r>
    </w:p>
    <w:p w14:paraId="32B7A669">
      <w:pPr>
        <w:pStyle w:val="6"/>
        <w:spacing w:before="0" w:beforeAutospacing="0" w:after="0" w:afterAutospacing="0" w:line="360" w:lineRule="auto"/>
        <w:rPr>
          <w:rFonts w:hint="eastAsia" w:ascii="宋体" w:hAnsi="宋体" w:eastAsia="宋体" w:cs="宋体"/>
          <w:b w:val="0"/>
          <w:bCs w:val="0"/>
          <w:color w:val="auto"/>
          <w:sz w:val="21"/>
          <w:highlight w:val="none"/>
        </w:rPr>
      </w:pPr>
      <w:r>
        <w:rPr>
          <w:rFonts w:hint="eastAsia" w:ascii="宋体" w:hAnsi="宋体" w:eastAsia="宋体" w:cs="宋体"/>
          <w:b w:val="0"/>
          <w:bCs w:val="0"/>
          <w:color w:val="auto"/>
          <w:sz w:val="21"/>
          <w:highlight w:val="none"/>
        </w:rPr>
        <w:t>B</w:t>
      </w:r>
      <w:r>
        <w:rPr>
          <w:rFonts w:hint="eastAsia" w:ascii="宋体" w:hAnsi="宋体" w:eastAsia="宋体" w:cs="宋体"/>
          <w:b w:val="0"/>
          <w:bCs w:val="0"/>
          <w:color w:val="auto"/>
          <w:sz w:val="21"/>
          <w:highlight w:val="none"/>
          <w:lang w:val="en-US" w:eastAsia="zh-CN"/>
        </w:rPr>
        <w:t>.</w:t>
      </w:r>
      <w:r>
        <w:rPr>
          <w:rFonts w:hint="eastAsia" w:ascii="宋体" w:hAnsi="宋体" w:eastAsia="宋体" w:cs="宋体"/>
          <w:b w:val="0"/>
          <w:bCs w:val="0"/>
          <w:color w:val="auto"/>
          <w:sz w:val="21"/>
          <w:highlight w:val="none"/>
        </w:rPr>
        <w:t>吸湿性的药物 </w:t>
      </w:r>
    </w:p>
    <w:p w14:paraId="6C380104">
      <w:pPr>
        <w:pStyle w:val="6"/>
        <w:spacing w:before="0" w:beforeAutospacing="0" w:after="0" w:afterAutospacing="0" w:line="360" w:lineRule="auto"/>
        <w:rPr>
          <w:rFonts w:hint="eastAsia" w:ascii="宋体" w:hAnsi="宋体" w:eastAsia="宋体" w:cs="宋体"/>
          <w:b w:val="0"/>
          <w:bCs w:val="0"/>
          <w:color w:val="auto"/>
          <w:sz w:val="21"/>
          <w:highlight w:val="none"/>
        </w:rPr>
      </w:pPr>
      <w:r>
        <w:rPr>
          <w:rFonts w:hint="eastAsia" w:ascii="宋体" w:hAnsi="宋体" w:eastAsia="宋体" w:cs="宋体"/>
          <w:b w:val="0"/>
          <w:bCs w:val="0"/>
          <w:color w:val="auto"/>
          <w:sz w:val="21"/>
          <w:highlight w:val="none"/>
        </w:rPr>
        <w:t>C</w:t>
      </w:r>
      <w:r>
        <w:rPr>
          <w:rFonts w:hint="eastAsia" w:ascii="宋体" w:hAnsi="宋体" w:eastAsia="宋体" w:cs="宋体"/>
          <w:b w:val="0"/>
          <w:bCs w:val="0"/>
          <w:color w:val="auto"/>
          <w:sz w:val="21"/>
          <w:highlight w:val="none"/>
          <w:lang w:val="en-US" w:eastAsia="zh-CN"/>
        </w:rPr>
        <w:t>.</w:t>
      </w:r>
      <w:r>
        <w:rPr>
          <w:rFonts w:hint="eastAsia" w:ascii="宋体" w:hAnsi="宋体" w:eastAsia="宋体" w:cs="宋体"/>
          <w:b w:val="0"/>
          <w:bCs w:val="0"/>
          <w:color w:val="auto"/>
          <w:sz w:val="21"/>
          <w:highlight w:val="none"/>
        </w:rPr>
        <w:t>药物的稀醇水溶液 </w:t>
      </w:r>
    </w:p>
    <w:p w14:paraId="404DB8C7">
      <w:pPr>
        <w:pStyle w:val="6"/>
        <w:spacing w:before="0" w:beforeAutospacing="0" w:after="0" w:afterAutospacing="0" w:line="360" w:lineRule="auto"/>
        <w:rPr>
          <w:rFonts w:hint="eastAsia" w:ascii="宋体" w:hAnsi="宋体" w:eastAsia="宋体" w:cs="宋体"/>
          <w:b w:val="0"/>
          <w:bCs w:val="0"/>
          <w:color w:val="auto"/>
          <w:sz w:val="21"/>
          <w:highlight w:val="none"/>
        </w:rPr>
      </w:pPr>
      <w:r>
        <w:rPr>
          <w:rFonts w:hint="eastAsia" w:ascii="宋体" w:hAnsi="宋体" w:eastAsia="宋体" w:cs="宋体"/>
          <w:b w:val="0"/>
          <w:bCs w:val="0"/>
          <w:color w:val="auto"/>
          <w:sz w:val="21"/>
          <w:highlight w:val="none"/>
        </w:rPr>
        <w:t>D</w:t>
      </w:r>
      <w:r>
        <w:rPr>
          <w:rFonts w:hint="eastAsia" w:ascii="宋体" w:hAnsi="宋体" w:eastAsia="宋体" w:cs="宋体"/>
          <w:b w:val="0"/>
          <w:bCs w:val="0"/>
          <w:color w:val="auto"/>
          <w:sz w:val="21"/>
          <w:highlight w:val="none"/>
          <w:lang w:val="en-US" w:eastAsia="zh-CN"/>
        </w:rPr>
        <w:t>.</w:t>
      </w:r>
      <w:r>
        <w:rPr>
          <w:rFonts w:hint="eastAsia" w:ascii="宋体" w:hAnsi="宋体" w:eastAsia="宋体" w:cs="宋体"/>
          <w:b w:val="0"/>
          <w:bCs w:val="0"/>
          <w:color w:val="auto"/>
          <w:sz w:val="21"/>
          <w:highlight w:val="none"/>
        </w:rPr>
        <w:t>具有臭味的药物 </w:t>
      </w:r>
    </w:p>
    <w:p w14:paraId="7BFB5901">
      <w:pPr>
        <w:pStyle w:val="6"/>
        <w:spacing w:before="0" w:beforeAutospacing="0" w:after="0" w:afterAutospacing="0"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highlight w:val="none"/>
          <w:lang w:val="en-US" w:eastAsia="zh-CN"/>
        </w:rPr>
        <w:t>E.</w:t>
      </w:r>
      <w:r>
        <w:rPr>
          <w:rFonts w:hint="eastAsia" w:ascii="宋体" w:hAnsi="宋体" w:eastAsia="宋体" w:cs="宋体"/>
          <w:b w:val="0"/>
          <w:bCs w:val="0"/>
          <w:color w:val="auto"/>
          <w:sz w:val="21"/>
          <w:highlight w:val="none"/>
        </w:rPr>
        <w:t>油性药物的O/W乳状液 </w:t>
      </w:r>
    </w:p>
    <w:p w14:paraId="441EACC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52</w:t>
      </w:r>
      <w:r>
        <w:rPr>
          <w:rFonts w:hint="eastAsia" w:ascii="宋体" w:hAnsi="宋体" w:eastAsia="宋体" w:cs="宋体"/>
          <w:b w:val="0"/>
          <w:bCs w:val="0"/>
          <w:color w:val="auto"/>
          <w:sz w:val="21"/>
          <w:szCs w:val="21"/>
          <w:highlight w:val="none"/>
        </w:rPr>
        <w:t>.加入下列哪种物料可改善凡士林吸水性</w:t>
      </w:r>
    </w:p>
    <w:p w14:paraId="060F5D33">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A.植物油    </w:t>
      </w:r>
    </w:p>
    <w:p w14:paraId="4531BB18">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B.液状石蜡     </w:t>
      </w:r>
    </w:p>
    <w:p w14:paraId="375A2E7B">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C.鲸蜡     </w:t>
      </w:r>
    </w:p>
    <w:p w14:paraId="0AA1475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D.羊毛脂     </w:t>
      </w:r>
    </w:p>
    <w:p w14:paraId="2945FD7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E.海藻酸钠</w:t>
      </w:r>
    </w:p>
    <w:p w14:paraId="0A5D750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53</w:t>
      </w:r>
      <w:r>
        <w:rPr>
          <w:rFonts w:hint="eastAsia" w:ascii="宋体" w:hAnsi="宋体" w:eastAsia="宋体" w:cs="宋体"/>
          <w:b w:val="0"/>
          <w:bCs w:val="0"/>
          <w:color w:val="auto"/>
          <w:sz w:val="21"/>
          <w:szCs w:val="21"/>
          <w:highlight w:val="none"/>
        </w:rPr>
        <w:t>.下列是水性凝胶基质的是</w:t>
      </w:r>
    </w:p>
    <w:p w14:paraId="36EADE8E">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A.植物油     </w:t>
      </w:r>
    </w:p>
    <w:p w14:paraId="2871910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B.卡波姆     </w:t>
      </w:r>
    </w:p>
    <w:p w14:paraId="1474EBC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C.泊洛沙姆    </w:t>
      </w:r>
    </w:p>
    <w:p w14:paraId="059187DB">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D.凡士林   </w:t>
      </w:r>
    </w:p>
    <w:p w14:paraId="11341923">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E.硬脂酸钠</w:t>
      </w:r>
    </w:p>
    <w:p w14:paraId="26877B0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rPr>
        <w:t>4.关于栓剂包装材料和储藏叙述错误的是</w:t>
      </w:r>
    </w:p>
    <w:p w14:paraId="316931C5">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A.栓剂应于0℃以下储藏</w:t>
      </w:r>
    </w:p>
    <w:p w14:paraId="0A47BB2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B.栓剂应于干燥阴凉处</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30℃以下储藏</w:t>
      </w:r>
    </w:p>
    <w:p w14:paraId="1C71226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C.甘油明胶栓及聚乙二醇栓可于室温阴凉处储存</w:t>
      </w:r>
    </w:p>
    <w:p w14:paraId="2AA5E9CD">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D.甘油明胶栓及聚乙二醇栓宜密闭于容器中以免吸湿</w:t>
      </w:r>
    </w:p>
    <w:p w14:paraId="41E4883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E.栓剂储藏应防止因受热</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受潮而变形</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发霉</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变质</w:t>
      </w:r>
    </w:p>
    <w:p w14:paraId="04E642E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55</w:t>
      </w:r>
      <w:r>
        <w:rPr>
          <w:rFonts w:hint="eastAsia" w:ascii="宋体" w:hAnsi="宋体" w:eastAsia="宋体" w:cs="宋体"/>
          <w:b w:val="0"/>
          <w:bCs w:val="0"/>
          <w:color w:val="auto"/>
          <w:sz w:val="21"/>
          <w:szCs w:val="21"/>
          <w:highlight w:val="none"/>
        </w:rPr>
        <w:t>.有关制粒目的叙述错误的是</w:t>
      </w:r>
    </w:p>
    <w:p w14:paraId="3978BDB1">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能增加药物稳定性</w:t>
      </w:r>
    </w:p>
    <w:p w14:paraId="087E5AC2">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防止裂片</w:t>
      </w:r>
    </w:p>
    <w:p w14:paraId="70D55D4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减少片重差异</w:t>
      </w:r>
    </w:p>
    <w:p w14:paraId="278435FD">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防止粘冲</w:t>
      </w:r>
    </w:p>
    <w:p w14:paraId="74294E8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增加流动性</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可压性</w:t>
      </w:r>
    </w:p>
    <w:p w14:paraId="69CE098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56</w:t>
      </w:r>
      <w:r>
        <w:rPr>
          <w:rFonts w:hint="eastAsia" w:ascii="宋体" w:hAnsi="宋体" w:eastAsia="宋体" w:cs="宋体"/>
          <w:b w:val="0"/>
          <w:bCs w:val="0"/>
          <w:color w:val="auto"/>
          <w:sz w:val="21"/>
          <w:szCs w:val="21"/>
          <w:highlight w:val="none"/>
        </w:rPr>
        <w:t>.易受消化液和肝脏首过作用影响的药物可制成</w:t>
      </w:r>
    </w:p>
    <w:p w14:paraId="184A601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A.咀嚼片  </w:t>
      </w:r>
    </w:p>
    <w:p w14:paraId="39CE09C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B.口服膜   </w:t>
      </w:r>
    </w:p>
    <w:p w14:paraId="3D9E1C2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C.泡腾片</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 xml:space="preserve"> </w:t>
      </w:r>
    </w:p>
    <w:p w14:paraId="76EC75D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D.舌下片  </w:t>
      </w:r>
    </w:p>
    <w:p w14:paraId="67941DA5">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E.多层片</w:t>
      </w:r>
    </w:p>
    <w:p w14:paraId="1D6CB8C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57</w:t>
      </w:r>
      <w:r>
        <w:rPr>
          <w:rFonts w:hint="eastAsia" w:ascii="宋体" w:hAnsi="宋体" w:eastAsia="宋体" w:cs="宋体"/>
          <w:b w:val="0"/>
          <w:bCs w:val="0"/>
          <w:color w:val="auto"/>
          <w:sz w:val="21"/>
          <w:szCs w:val="21"/>
          <w:highlight w:val="none"/>
        </w:rPr>
        <w:t>.以下各项不是片剂优点的为</w:t>
      </w:r>
    </w:p>
    <w:p w14:paraId="34594F4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A.剂量准确   </w:t>
      </w:r>
    </w:p>
    <w:p w14:paraId="3F4BECF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B.能用机械化生产，卫生条件容易控制   </w:t>
      </w:r>
    </w:p>
    <w:p w14:paraId="4B5B123C">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C.产量高，成本低 </w:t>
      </w:r>
    </w:p>
    <w:p w14:paraId="1F22A466">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D.服用</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携带</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运输均方便   </w:t>
      </w:r>
    </w:p>
    <w:p w14:paraId="0995295F">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E.生物利用度比胶囊剂高</w:t>
      </w:r>
    </w:p>
    <w:p w14:paraId="465D0EB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rPr>
        <w:t>8</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由高分子化合物分散在分散介质中形成的液体制剂</w:t>
      </w:r>
    </w:p>
    <w:p w14:paraId="16BA4C44">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 xml:space="preserve">低分子溶液剂    </w:t>
      </w:r>
    </w:p>
    <w:p w14:paraId="2E53982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 xml:space="preserve">高分子溶液剂    </w:t>
      </w:r>
    </w:p>
    <w:p w14:paraId="7EBDD922">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 xml:space="preserve">溶胶剂    </w:t>
      </w:r>
    </w:p>
    <w:p w14:paraId="7417EA0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 xml:space="preserve">乳剂    </w:t>
      </w:r>
    </w:p>
    <w:p w14:paraId="3DB9E403">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混悬剂</w:t>
      </w:r>
    </w:p>
    <w:p w14:paraId="25DAE46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59.</w:t>
      </w:r>
      <w:r>
        <w:rPr>
          <w:rFonts w:hint="eastAsia" w:ascii="宋体" w:hAnsi="宋体" w:eastAsia="宋体" w:cs="宋体"/>
          <w:b w:val="0"/>
          <w:bCs w:val="0"/>
          <w:color w:val="auto"/>
          <w:sz w:val="21"/>
          <w:szCs w:val="21"/>
          <w:highlight w:val="none"/>
        </w:rPr>
        <w:t>以PEG为基质制备滴丸时应选（</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）做冷却剂</w:t>
      </w:r>
    </w:p>
    <w:p w14:paraId="48AF227A">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A.水与乙醇的混合物         </w:t>
      </w:r>
    </w:p>
    <w:p w14:paraId="00537C55">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B.乙醇与甘油的混合物</w:t>
      </w:r>
    </w:p>
    <w:p w14:paraId="3BB25CD0">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C.液状石蜡与乙醇的混合物   </w:t>
      </w:r>
    </w:p>
    <w:p w14:paraId="0C116129">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D.煤油与乙醇的混合物</w:t>
      </w:r>
    </w:p>
    <w:p w14:paraId="70C87CA7">
      <w:p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E.液状石蜡</w:t>
      </w:r>
    </w:p>
    <w:p w14:paraId="53C949A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60</w:t>
      </w:r>
      <w:r>
        <w:rPr>
          <w:rFonts w:hint="eastAsia" w:ascii="宋体" w:hAnsi="宋体" w:eastAsia="宋体" w:cs="宋体"/>
          <w:b w:val="0"/>
          <w:bCs w:val="0"/>
          <w:color w:val="auto"/>
          <w:sz w:val="21"/>
          <w:szCs w:val="21"/>
          <w:highlight w:val="none"/>
        </w:rPr>
        <w:t>.二相气雾剂为</w:t>
      </w:r>
    </w:p>
    <w:p w14:paraId="41A6AFA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A.溶液型气雾剂 </w:t>
      </w:r>
      <w:r>
        <w:rPr>
          <w:rFonts w:hint="eastAsia" w:ascii="宋体" w:hAnsi="宋体" w:eastAsia="宋体" w:cs="宋体"/>
          <w:b w:val="0"/>
          <w:bCs w:val="0"/>
          <w:color w:val="auto"/>
          <w:sz w:val="21"/>
          <w:szCs w:val="21"/>
          <w:highlight w:val="none"/>
          <w:lang w:val="en-US" w:eastAsia="zh-CN"/>
        </w:rPr>
        <w:t xml:space="preserve">  </w:t>
      </w:r>
    </w:p>
    <w:p w14:paraId="135CBA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B.0/W乳剂型气雾剂</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 </w:t>
      </w:r>
    </w:p>
    <w:p w14:paraId="6CFC9DE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C.W/O乳剂型气雾剂</w:t>
      </w:r>
    </w:p>
    <w:p w14:paraId="5FB8C2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D.混悬型气雾剂</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 </w:t>
      </w:r>
    </w:p>
    <w:p w14:paraId="6A12757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E.吸入粉雾剂</w:t>
      </w:r>
    </w:p>
    <w:p w14:paraId="43BE2E6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61.</w:t>
      </w:r>
      <w:r>
        <w:rPr>
          <w:rFonts w:hint="eastAsia" w:ascii="宋体" w:hAnsi="宋体" w:eastAsia="宋体" w:cs="宋体"/>
          <w:b w:val="0"/>
          <w:bCs w:val="0"/>
          <w:color w:val="auto"/>
          <w:sz w:val="21"/>
          <w:szCs w:val="21"/>
          <w:highlight w:val="none"/>
        </w:rPr>
        <w:t>关于药用辅料的一般质量要求错误的是</w:t>
      </w:r>
    </w:p>
    <w:p w14:paraId="194C3CE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药用辅料必须符合化工生产要求 </w:t>
      </w:r>
    </w:p>
    <w:p w14:paraId="6B7CB75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药用辅料应通过安全性评估，对人体无毒害作用 </w:t>
      </w:r>
    </w:p>
    <w:p w14:paraId="5354F1E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化学性质稳定不与主药及其他辅料发生作用 </w:t>
      </w:r>
    </w:p>
    <w:p w14:paraId="68E0B9D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药用辅料的残留溶剂</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微生物限度或无菌应符合要求 </w:t>
      </w:r>
    </w:p>
    <w:p w14:paraId="4168A5C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药用辅料的安全性以及影响制剂生产</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安全性和有效性的</w:t>
      </w:r>
    </w:p>
    <w:p w14:paraId="218197A7">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62.</w:t>
      </w:r>
      <w:r>
        <w:rPr>
          <w:rFonts w:hint="eastAsia" w:ascii="宋体" w:hAnsi="宋体" w:eastAsia="宋体" w:cs="宋体"/>
          <w:b w:val="0"/>
          <w:bCs w:val="0"/>
          <w:color w:val="auto"/>
          <w:sz w:val="21"/>
          <w:szCs w:val="21"/>
          <w:highlight w:val="none"/>
        </w:rPr>
        <w:t>下列不属于药品包装材料的质量要求的是</w:t>
      </w:r>
    </w:p>
    <w:p w14:paraId="3B980D8A">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材料的鉴别 </w:t>
      </w:r>
    </w:p>
    <w:p w14:paraId="0F7DA4EB">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材料的化学性能检查 </w:t>
      </w:r>
    </w:p>
    <w:p w14:paraId="27BE116D">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材料的使用性能检查 </w:t>
      </w:r>
    </w:p>
    <w:p w14:paraId="4FE6ABD7">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材料的生物安全检查 </w:t>
      </w:r>
    </w:p>
    <w:p w14:paraId="646FD474">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材料的药理活性检查 </w:t>
      </w:r>
    </w:p>
    <w:p w14:paraId="0543239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63</w:t>
      </w:r>
      <w:r>
        <w:rPr>
          <w:rFonts w:hint="eastAsia" w:ascii="宋体" w:hAnsi="宋体" w:eastAsia="宋体" w:cs="宋体"/>
          <w:b w:val="0"/>
          <w:bCs w:val="0"/>
          <w:color w:val="auto"/>
          <w:sz w:val="21"/>
          <w:szCs w:val="21"/>
          <w:highlight w:val="none"/>
        </w:rPr>
        <w:t>.适用于偏酸性药液的水溶性抗氧剂是</w:t>
      </w:r>
    </w:p>
    <w:p w14:paraId="5548799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叔丁基对羟基茴香醚(BHA) </w:t>
      </w:r>
    </w:p>
    <w:p w14:paraId="609799F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亚硫酸钠 </w:t>
      </w:r>
    </w:p>
    <w:p w14:paraId="16297C1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焦亚硫酸钠 </w:t>
      </w:r>
    </w:p>
    <w:p w14:paraId="38A368B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生育酚 </w:t>
      </w:r>
    </w:p>
    <w:p w14:paraId="049EC5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硫代硫酸钠 </w:t>
      </w:r>
    </w:p>
    <w:p w14:paraId="77BD036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rPr>
        <w:t>4</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常用的油溶性抗氧剂有</w:t>
      </w:r>
    </w:p>
    <w:p w14:paraId="1EF044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硫脲 </w:t>
      </w:r>
    </w:p>
    <w:p w14:paraId="7C44E46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胱氨酸 </w:t>
      </w:r>
    </w:p>
    <w:p w14:paraId="73035AC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生育酚 </w:t>
      </w:r>
    </w:p>
    <w:p w14:paraId="315A57F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硫代硫酸钠 </w:t>
      </w:r>
    </w:p>
    <w:p w14:paraId="69B1956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亚硫酸氢钠 </w:t>
      </w:r>
    </w:p>
    <w:p w14:paraId="7BA94FB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65</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干燥失重主要检查药物中的                                         </w:t>
      </w:r>
    </w:p>
    <w:p w14:paraId="398F030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硫酸灰分           </w:t>
      </w:r>
    </w:p>
    <w:p w14:paraId="54F2948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水分</w:t>
      </w:r>
    </w:p>
    <w:p w14:paraId="471DAC5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易炭化物           </w:t>
      </w:r>
    </w:p>
    <w:p w14:paraId="6835380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水分及其他挥发性成分</w:t>
      </w:r>
    </w:p>
    <w:p w14:paraId="420BBC9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结晶水</w:t>
      </w:r>
    </w:p>
    <w:p w14:paraId="3D36A52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66</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检查维生素C中重金属时，若取样量为1.0g，要求重金属含量不得过百万分之十，应吸取标准铅溶液（每1ml相当于</w:t>
      </w:r>
      <w:r>
        <w:rPr>
          <w:rFonts w:hint="eastAsia" w:ascii="宋体" w:hAnsi="宋体" w:eastAsia="宋体" w:cs="宋体"/>
          <w:b w:val="0"/>
          <w:bCs w:val="0"/>
          <w:color w:val="auto"/>
          <w:sz w:val="21"/>
          <w:szCs w:val="21"/>
          <w:highlight w:val="none"/>
          <w:lang w:val="en-US" w:eastAsia="zh-CN"/>
        </w:rPr>
        <w:t>10μg</w:t>
      </w:r>
      <w:r>
        <w:rPr>
          <w:rFonts w:hint="eastAsia" w:ascii="宋体" w:hAnsi="宋体" w:eastAsia="宋体" w:cs="宋体"/>
          <w:b w:val="0"/>
          <w:bCs w:val="0"/>
          <w:color w:val="auto"/>
          <w:sz w:val="21"/>
          <w:szCs w:val="21"/>
          <w:highlight w:val="none"/>
        </w:rPr>
        <w:t xml:space="preserve">的Pb）多少毫升                       </w:t>
      </w:r>
    </w:p>
    <w:p w14:paraId="0358804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0.2        </w:t>
      </w:r>
    </w:p>
    <w:p w14:paraId="7DF379E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0.4        </w:t>
      </w:r>
    </w:p>
    <w:p w14:paraId="1437637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2.0        </w:t>
      </w:r>
    </w:p>
    <w:p w14:paraId="0130D4C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1.0          </w:t>
      </w:r>
    </w:p>
    <w:p w14:paraId="3DC9B21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20</w:t>
      </w:r>
    </w:p>
    <w:p w14:paraId="11F91DB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67.</w:t>
      </w:r>
      <w:r>
        <w:rPr>
          <w:rFonts w:hint="eastAsia" w:ascii="宋体" w:hAnsi="宋体" w:eastAsia="宋体" w:cs="宋体"/>
          <w:b w:val="0"/>
          <w:bCs w:val="0"/>
          <w:color w:val="auto"/>
          <w:sz w:val="21"/>
          <w:szCs w:val="21"/>
          <w:highlight w:val="none"/>
        </w:rPr>
        <w:t>重金属检查中，加入硫代乙酰胺比色时，溶液最佳</w:t>
      </w:r>
      <w:r>
        <w:rPr>
          <w:rFonts w:hint="eastAsia" w:ascii="宋体" w:hAnsi="宋体" w:eastAsia="宋体" w:cs="宋体"/>
          <w:b w:val="0"/>
          <w:bCs w:val="0"/>
          <w:color w:val="auto"/>
          <w:sz w:val="21"/>
          <w:szCs w:val="21"/>
          <w:highlight w:val="none"/>
          <w:lang w:val="en-US" w:eastAsia="zh-CN"/>
        </w:rPr>
        <w:t>p</w:t>
      </w:r>
      <w:r>
        <w:rPr>
          <w:rFonts w:hint="eastAsia" w:ascii="宋体" w:hAnsi="宋体" w:eastAsia="宋体" w:cs="宋体"/>
          <w:b w:val="0"/>
          <w:bCs w:val="0"/>
          <w:color w:val="auto"/>
          <w:sz w:val="21"/>
          <w:szCs w:val="21"/>
          <w:highlight w:val="none"/>
        </w:rPr>
        <w:t xml:space="preserve">H值是                   </w:t>
      </w:r>
    </w:p>
    <w:p w14:paraId="1132B61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1.5       </w:t>
      </w:r>
    </w:p>
    <w:p w14:paraId="6A0E6D8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3.5        </w:t>
      </w:r>
    </w:p>
    <w:p w14:paraId="4700C07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2.5        </w:t>
      </w:r>
    </w:p>
    <w:p w14:paraId="37DFAD2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D.＞</w:t>
      </w:r>
      <w:r>
        <w:rPr>
          <w:rFonts w:hint="eastAsia" w:ascii="宋体" w:hAnsi="宋体" w:eastAsia="宋体" w:cs="宋体"/>
          <w:b w:val="0"/>
          <w:bCs w:val="0"/>
          <w:color w:val="auto"/>
          <w:sz w:val="21"/>
          <w:szCs w:val="21"/>
          <w:highlight w:val="none"/>
        </w:rPr>
        <w:t xml:space="preserve">7         </w:t>
      </w:r>
    </w:p>
    <w:p w14:paraId="6E7E092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10.0</w:t>
      </w:r>
    </w:p>
    <w:p w14:paraId="4BEA2DB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68</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检查某药品杂质限量时，取供试品W（g），量取待测杂质的标准溶液体积为V（ml），浓度为C（g/ml），则该药品的杂质限量是                                    </w:t>
      </w:r>
    </w:p>
    <w:p w14:paraId="2537D3A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W/</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C•V</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*100%                   </w:t>
      </w:r>
    </w:p>
    <w:p w14:paraId="15399F2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C•V•W•100%</w:t>
      </w:r>
    </w:p>
    <w:p w14:paraId="0071E06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V•C/W*100%                        </w:t>
      </w:r>
    </w:p>
    <w:p w14:paraId="629E06B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C•W/V*100%</w:t>
      </w:r>
    </w:p>
    <w:p w14:paraId="28F8838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V•W/C*100%</w:t>
      </w:r>
    </w:p>
    <w:p w14:paraId="157C3BB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69</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在铁盐检查中，为什么要加过硫酸铵？                                </w:t>
      </w:r>
    </w:p>
    <w:p w14:paraId="50D5D63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防止Fe</w:t>
      </w:r>
      <w:r>
        <w:rPr>
          <w:rFonts w:hint="eastAsia" w:ascii="宋体" w:hAnsi="宋体" w:eastAsia="宋体" w:cs="宋体"/>
          <w:b w:val="0"/>
          <w:bCs w:val="0"/>
          <w:color w:val="auto"/>
          <w:sz w:val="21"/>
          <w:szCs w:val="21"/>
          <w:highlight w:val="none"/>
          <w:vertAlign w:val="superscript"/>
        </w:rPr>
        <w:t>3+</w:t>
      </w:r>
      <w:r>
        <w:rPr>
          <w:rFonts w:hint="eastAsia" w:ascii="宋体" w:hAnsi="宋体" w:eastAsia="宋体" w:cs="宋体"/>
          <w:b w:val="0"/>
          <w:bCs w:val="0"/>
          <w:color w:val="auto"/>
          <w:sz w:val="21"/>
          <w:szCs w:val="21"/>
          <w:highlight w:val="none"/>
        </w:rPr>
        <w:t xml:space="preserve">水解                          </w:t>
      </w:r>
    </w:p>
    <w:p w14:paraId="182E48B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使Fe</w:t>
      </w:r>
      <w:r>
        <w:rPr>
          <w:rFonts w:hint="eastAsia" w:ascii="宋体" w:hAnsi="宋体" w:eastAsia="宋体" w:cs="宋体"/>
          <w:b w:val="0"/>
          <w:bCs w:val="0"/>
          <w:color w:val="auto"/>
          <w:sz w:val="21"/>
          <w:szCs w:val="21"/>
          <w:highlight w:val="none"/>
          <w:vertAlign w:val="superscript"/>
        </w:rPr>
        <w:t>2+</w:t>
      </w:r>
      <w:r>
        <w:rPr>
          <w:rFonts w:hint="eastAsia" w:ascii="宋体" w:hAnsi="宋体" w:eastAsia="宋体" w:cs="宋体"/>
          <w:b w:val="0"/>
          <w:bCs w:val="0"/>
          <w:color w:val="auto"/>
          <w:sz w:val="21"/>
          <w:szCs w:val="21"/>
          <w:highlight w:val="none"/>
        </w:rPr>
        <w:t>→Fe</w:t>
      </w:r>
      <w:r>
        <w:rPr>
          <w:rFonts w:hint="eastAsia" w:ascii="宋体" w:hAnsi="宋体" w:eastAsia="宋体" w:cs="宋体"/>
          <w:b w:val="0"/>
          <w:bCs w:val="0"/>
          <w:color w:val="auto"/>
          <w:sz w:val="21"/>
          <w:szCs w:val="21"/>
          <w:highlight w:val="none"/>
          <w:vertAlign w:val="superscript"/>
        </w:rPr>
        <w:t>3+</w:t>
      </w:r>
    </w:p>
    <w:p w14:paraId="3A88E75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使Fe</w:t>
      </w:r>
      <w:r>
        <w:rPr>
          <w:rFonts w:hint="eastAsia" w:ascii="宋体" w:hAnsi="宋体" w:eastAsia="宋体" w:cs="宋体"/>
          <w:b w:val="0"/>
          <w:bCs w:val="0"/>
          <w:color w:val="auto"/>
          <w:sz w:val="21"/>
          <w:szCs w:val="21"/>
          <w:highlight w:val="none"/>
          <w:vertAlign w:val="superscript"/>
        </w:rPr>
        <w:t>3+</w:t>
      </w:r>
      <w:r>
        <w:rPr>
          <w:rFonts w:hint="eastAsia" w:ascii="宋体" w:hAnsi="宋体" w:eastAsia="宋体" w:cs="宋体"/>
          <w:b w:val="0"/>
          <w:bCs w:val="0"/>
          <w:color w:val="auto"/>
          <w:sz w:val="21"/>
          <w:szCs w:val="21"/>
          <w:highlight w:val="none"/>
        </w:rPr>
        <w:t>→Fe</w:t>
      </w:r>
      <w:r>
        <w:rPr>
          <w:rFonts w:hint="eastAsia" w:ascii="宋体" w:hAnsi="宋体" w:eastAsia="宋体" w:cs="宋体"/>
          <w:b w:val="0"/>
          <w:bCs w:val="0"/>
          <w:color w:val="auto"/>
          <w:sz w:val="21"/>
          <w:szCs w:val="21"/>
          <w:highlight w:val="none"/>
          <w:vertAlign w:val="superscript"/>
        </w:rPr>
        <w:t>2+</w:t>
      </w:r>
      <w:r>
        <w:rPr>
          <w:rFonts w:hint="eastAsia" w:ascii="宋体" w:hAnsi="宋体" w:eastAsia="宋体" w:cs="宋体"/>
          <w:b w:val="0"/>
          <w:bCs w:val="0"/>
          <w:color w:val="auto"/>
          <w:sz w:val="21"/>
          <w:szCs w:val="21"/>
          <w:highlight w:val="none"/>
        </w:rPr>
        <w:t xml:space="preserve">                          </w:t>
      </w:r>
    </w:p>
    <w:p w14:paraId="650A3A5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防止干扰</w:t>
      </w:r>
    </w:p>
    <w:p w14:paraId="6BE3B30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除去Fe</w:t>
      </w:r>
      <w:r>
        <w:rPr>
          <w:rFonts w:hint="eastAsia" w:ascii="宋体" w:hAnsi="宋体" w:eastAsia="宋体" w:cs="宋体"/>
          <w:b w:val="0"/>
          <w:bCs w:val="0"/>
          <w:color w:val="auto"/>
          <w:sz w:val="21"/>
          <w:szCs w:val="21"/>
          <w:highlight w:val="none"/>
          <w:vertAlign w:val="superscript"/>
        </w:rPr>
        <w:t>2+</w:t>
      </w:r>
      <w:r>
        <w:rPr>
          <w:rFonts w:hint="eastAsia" w:ascii="宋体" w:hAnsi="宋体" w:eastAsia="宋体" w:cs="宋体"/>
          <w:b w:val="0"/>
          <w:bCs w:val="0"/>
          <w:color w:val="auto"/>
          <w:sz w:val="21"/>
          <w:szCs w:val="21"/>
          <w:highlight w:val="none"/>
        </w:rPr>
        <w:t>的影响</w:t>
      </w:r>
    </w:p>
    <w:p w14:paraId="5ADF073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70</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若炽灼残渣留做重金属检查时，炽灼温度应控制在                       </w:t>
      </w:r>
    </w:p>
    <w:p w14:paraId="5ED08BC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500℃以下         </w:t>
      </w:r>
    </w:p>
    <w:p w14:paraId="62965A8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600℃以上         </w:t>
      </w:r>
    </w:p>
    <w:p w14:paraId="7C0E23F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700～800℃         </w:t>
      </w:r>
    </w:p>
    <w:p w14:paraId="055838A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650℃</w:t>
      </w:r>
    </w:p>
    <w:p w14:paraId="73D4F75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500～600℃</w:t>
      </w:r>
    </w:p>
    <w:p w14:paraId="31CA6DB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71</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取某药2.0g，加水100ml溶解后，取滤取滤液25ml，依法检查氯化物，规定氯化物限量不得过0.01%，应取标准氯化钠溶液（10μgCl/ml）多少毫升              </w:t>
      </w:r>
    </w:p>
    <w:p w14:paraId="0E8FDAC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5.0       </w:t>
      </w:r>
    </w:p>
    <w:p w14:paraId="5208183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5       </w:t>
      </w:r>
    </w:p>
    <w:p w14:paraId="49C66F3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0.5        </w:t>
      </w:r>
    </w:p>
    <w:p w14:paraId="696DD0B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0.50        </w:t>
      </w:r>
    </w:p>
    <w:p w14:paraId="4240F58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2.0</w:t>
      </w:r>
    </w:p>
    <w:p w14:paraId="2065207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72</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磷酸可待因中检查吗啡，取本品0.20g，加HCL溶液使溶解成5ml，加亚硝酸钠试液2ml，放置15min，加氨试液3ml，所显颜色与吗啡溶液（取无水吗啡2.0mg，加HCL溶液溶解成100ml）5.0ml用同一方法制成的对照液比较不得更深，其限量是       </w:t>
      </w:r>
    </w:p>
    <w:p w14:paraId="6F8E5AC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0.10%      </w:t>
      </w:r>
    </w:p>
    <w:p w14:paraId="5F6E431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0.20%      </w:t>
      </w:r>
    </w:p>
    <w:p w14:paraId="09F9B87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0.05%       </w:t>
      </w:r>
    </w:p>
    <w:p w14:paraId="5FDB6BA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0.25%       </w:t>
      </w:r>
    </w:p>
    <w:p w14:paraId="0FCC171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0.005%</w:t>
      </w:r>
    </w:p>
    <w:p w14:paraId="2A5E255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73.</w:t>
      </w:r>
      <w:r>
        <w:rPr>
          <w:rFonts w:hint="eastAsia" w:ascii="宋体" w:hAnsi="宋体" w:eastAsia="宋体" w:cs="宋体"/>
          <w:b w:val="0"/>
          <w:bCs w:val="0"/>
          <w:color w:val="auto"/>
          <w:sz w:val="21"/>
          <w:szCs w:val="21"/>
          <w:highlight w:val="none"/>
        </w:rPr>
        <w:t>为门诊中度慢性疼痛患者开具的麻醉药品注射剂</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每张处方不得超过  </w:t>
      </w:r>
    </w:p>
    <w:p w14:paraId="338066A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一次常用量 </w:t>
      </w:r>
    </w:p>
    <w:p w14:paraId="29C363D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3日常用量 </w:t>
      </w:r>
    </w:p>
    <w:p w14:paraId="647169B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5日常用量 </w:t>
      </w:r>
    </w:p>
    <w:p w14:paraId="2D570A3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7日常用量 </w:t>
      </w:r>
    </w:p>
    <w:p w14:paraId="34D55AC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15日常用量 </w:t>
      </w:r>
    </w:p>
    <w:p w14:paraId="4A2671C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74.</w:t>
      </w:r>
      <w:r>
        <w:rPr>
          <w:rFonts w:hint="eastAsia" w:ascii="宋体" w:hAnsi="宋体" w:eastAsia="宋体" w:cs="宋体"/>
          <w:b w:val="0"/>
          <w:bCs w:val="0"/>
          <w:color w:val="auto"/>
          <w:sz w:val="21"/>
          <w:szCs w:val="21"/>
          <w:highlight w:val="none"/>
        </w:rPr>
        <w:t>根据《医疗机构制剂注册管理办法(试行)》</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医疗机构制剂批准文号有效期为 </w:t>
      </w:r>
    </w:p>
    <w:p w14:paraId="17267B2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1年 </w:t>
      </w:r>
    </w:p>
    <w:p w14:paraId="2B46B6A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2年 </w:t>
      </w:r>
    </w:p>
    <w:p w14:paraId="4096614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3年 </w:t>
      </w:r>
    </w:p>
    <w:p w14:paraId="69CC737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4年 </w:t>
      </w:r>
    </w:p>
    <w:p w14:paraId="2C1EB81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5年 </w:t>
      </w:r>
    </w:p>
    <w:p w14:paraId="384CBCD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75.</w:t>
      </w:r>
      <w:r>
        <w:rPr>
          <w:rFonts w:hint="eastAsia" w:ascii="宋体" w:hAnsi="宋体" w:eastAsia="宋体" w:cs="宋体"/>
          <w:b w:val="0"/>
          <w:bCs w:val="0"/>
          <w:color w:val="auto"/>
          <w:sz w:val="21"/>
          <w:szCs w:val="21"/>
          <w:highlight w:val="none"/>
        </w:rPr>
        <w:t xml:space="preserve">根据《医疗机构制剂配制质量管理规范(试行)》制剂室负责人的学历要求  </w:t>
      </w:r>
    </w:p>
    <w:p w14:paraId="186A889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中专以上药学或者相关专业学历 </w:t>
      </w:r>
    </w:p>
    <w:p w14:paraId="0AE8236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大专以上药学或者相关专业学历 </w:t>
      </w:r>
    </w:p>
    <w:p w14:paraId="36E5BDD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本科以上药学或者相关专业学历 </w:t>
      </w:r>
    </w:p>
    <w:p w14:paraId="19F9CEE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大专以上药学学历 </w:t>
      </w:r>
    </w:p>
    <w:p w14:paraId="0FBA3F4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本科以上药学专业学历 </w:t>
      </w:r>
    </w:p>
    <w:p w14:paraId="35BC7B9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76.</w:t>
      </w:r>
      <w:r>
        <w:rPr>
          <w:rFonts w:hint="eastAsia" w:ascii="宋体" w:hAnsi="宋体" w:eastAsia="宋体" w:cs="宋体"/>
          <w:b w:val="0"/>
          <w:bCs w:val="0"/>
          <w:color w:val="auto"/>
          <w:sz w:val="21"/>
          <w:szCs w:val="21"/>
          <w:highlight w:val="none"/>
        </w:rPr>
        <w:t>甲医院设立了制剂室</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符合规定的行为是  </w:t>
      </w:r>
    </w:p>
    <w:p w14:paraId="0FE031D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将经依法批准制备的制剂调配给本院门诊患者使用 </w:t>
      </w:r>
    </w:p>
    <w:p w14:paraId="0DA6000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在本院病房走廊张贴客观宣传该制剂疗效的广告 </w:t>
      </w:r>
    </w:p>
    <w:p w14:paraId="0648C6A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依法取得《医疗机构制剂许可证》</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经所在地省级卫生行政部门同意后</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即开始配制本院临床需用的制剂 </w:t>
      </w:r>
    </w:p>
    <w:p w14:paraId="7EAA2A0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因突发疫情</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应乙医院请求</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将经依法批准制备的制剂调剂给乙医院使用事后及时向省级药品监督管理部门报备 </w:t>
      </w:r>
    </w:p>
    <w:p w14:paraId="63DED84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因乙医院抢救患者急需</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而市场没有供应</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将经依法批准制备的制剂调剂给乙医院使用</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同时向省级卫生行政部门报告 </w:t>
      </w:r>
    </w:p>
    <w:p w14:paraId="188553C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77.</w:t>
      </w:r>
      <w:r>
        <w:rPr>
          <w:rFonts w:hint="eastAsia" w:ascii="宋体" w:hAnsi="宋体" w:eastAsia="宋体" w:cs="宋体"/>
          <w:b w:val="0"/>
          <w:bCs w:val="0"/>
          <w:color w:val="auto"/>
          <w:sz w:val="21"/>
          <w:szCs w:val="21"/>
          <w:highlight w:val="none"/>
        </w:rPr>
        <w:t>根据《关于建立国家基本药物制度的实施意见》</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国家基本药物工作委员会的职能不包括  </w:t>
      </w:r>
    </w:p>
    <w:p w14:paraId="2F9BB06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确定国家基本药物目录遴选原则</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范围</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程序 </w:t>
      </w:r>
    </w:p>
    <w:p w14:paraId="1BFB61A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确定国家基本药物目录遴选和调整的工作方案 </w:t>
      </w:r>
    </w:p>
    <w:p w14:paraId="4DD43D8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确定国家基本药物制度框架 </w:t>
      </w:r>
    </w:p>
    <w:p w14:paraId="1C2A536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审核国家基本药物目录 </w:t>
      </w:r>
    </w:p>
    <w:p w14:paraId="1B54613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制定国家基本药物最高零售指导价格 </w:t>
      </w:r>
    </w:p>
    <w:p w14:paraId="5B6DDEC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78.</w:t>
      </w:r>
      <w:r>
        <w:rPr>
          <w:rFonts w:hint="eastAsia" w:ascii="宋体" w:hAnsi="宋体" w:eastAsia="宋体" w:cs="宋体"/>
          <w:b w:val="0"/>
          <w:bCs w:val="0"/>
          <w:color w:val="auto"/>
          <w:sz w:val="21"/>
          <w:szCs w:val="21"/>
          <w:highlight w:val="none"/>
        </w:rPr>
        <w:t>根据《医疗机构药事管理规定》</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医疗机构药师的主要工作职责不包括 </w:t>
      </w:r>
    </w:p>
    <w:p w14:paraId="53397E5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向公众宣传合理用药知识 </w:t>
      </w:r>
    </w:p>
    <w:p w14:paraId="69670F3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从事儿科新药的研究和开发 </w:t>
      </w:r>
    </w:p>
    <w:p w14:paraId="723E65A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进行肿瘤化疗药物静脉用药的配制 </w:t>
      </w:r>
    </w:p>
    <w:p w14:paraId="6BA4D17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开展药学查房</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讨论对危重患者的医疗救治 </w:t>
      </w:r>
    </w:p>
    <w:p w14:paraId="7112427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结合临床药物治疗实践</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进行药学临床应用研究  </w:t>
      </w:r>
    </w:p>
    <w:p w14:paraId="59EABBE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79.</w:t>
      </w:r>
      <w:r>
        <w:rPr>
          <w:rFonts w:hint="eastAsia" w:ascii="宋体" w:hAnsi="宋体" w:eastAsia="宋体" w:cs="宋体"/>
          <w:b w:val="0"/>
          <w:bCs w:val="0"/>
          <w:color w:val="auto"/>
          <w:sz w:val="21"/>
          <w:szCs w:val="21"/>
          <w:highlight w:val="none"/>
        </w:rPr>
        <w:t>根据《处方管理办法》</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处方销毁需 </w:t>
      </w:r>
    </w:p>
    <w:p w14:paraId="1DB0C8F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经医疗机构主要负责人批准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登记备案 </w:t>
      </w:r>
    </w:p>
    <w:p w14:paraId="51C0699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经县以上卫生行政部门批准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登记备案 </w:t>
      </w:r>
    </w:p>
    <w:p w14:paraId="1B1E95E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经县以上药品监督管理部门批准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登记备案 </w:t>
      </w:r>
    </w:p>
    <w:p w14:paraId="15E293B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经县以上监察部门批准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登记备案 </w:t>
      </w:r>
    </w:p>
    <w:p w14:paraId="4BF5820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经医疗机构的药学部门批准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登记备案 </w:t>
      </w:r>
    </w:p>
    <w:p w14:paraId="0FB3AC6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80.</w:t>
      </w:r>
      <w:r>
        <w:rPr>
          <w:rFonts w:hint="eastAsia" w:ascii="宋体" w:hAnsi="宋体" w:eastAsia="宋体" w:cs="宋体"/>
          <w:b w:val="0"/>
          <w:bCs w:val="0"/>
          <w:color w:val="auto"/>
          <w:sz w:val="21"/>
          <w:szCs w:val="21"/>
          <w:highlight w:val="none"/>
        </w:rPr>
        <w:t xml:space="preserve">负责标定国家药品标准品的机构是 </w:t>
      </w:r>
    </w:p>
    <w:p w14:paraId="5615B6C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中国食品药品检定研究院 </w:t>
      </w:r>
    </w:p>
    <w:p w14:paraId="129F040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国家药典委员会 </w:t>
      </w:r>
    </w:p>
    <w:p w14:paraId="4446AAD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省级药品监督管理部门 </w:t>
      </w:r>
    </w:p>
    <w:p w14:paraId="6A89DC7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国家中医药管理局 </w:t>
      </w:r>
    </w:p>
    <w:p w14:paraId="1EBEB33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国家药品监督管理部门 </w:t>
      </w:r>
    </w:p>
    <w:p w14:paraId="5FA7E2C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p>
    <w:p w14:paraId="29ADC3E5">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多选题</w:t>
      </w:r>
    </w:p>
    <w:p w14:paraId="1180D050">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1.减少过敏介质释放的药物是　　</w:t>
      </w:r>
    </w:p>
    <w:p w14:paraId="3F9C0221">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A.沙丁胺醇　　</w:t>
      </w:r>
    </w:p>
    <w:p w14:paraId="0B27146E">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B.异丙托溴胺　　</w:t>
      </w:r>
    </w:p>
    <w:p w14:paraId="37E3F541">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C.麻黄碱　　</w:t>
      </w:r>
    </w:p>
    <w:p w14:paraId="5A841433">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D.丙酸倍氯米松　　</w:t>
      </w:r>
    </w:p>
    <w:p w14:paraId="1631FB4B">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E.色甘酸钠　　　　</w:t>
      </w:r>
    </w:p>
    <w:p w14:paraId="7D2B28BA">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2.喘发生有关的因素有　　</w:t>
      </w:r>
    </w:p>
    <w:p w14:paraId="47D86327">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A.支气管平滑肌痉挛　　</w:t>
      </w:r>
    </w:p>
    <w:p w14:paraId="63C99929">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B.支气管粘膜血管扩张　　</w:t>
      </w:r>
    </w:p>
    <w:p w14:paraId="450E8612">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C.迷走神经活性过高　　</w:t>
      </w:r>
    </w:p>
    <w:p w14:paraId="220FAA6B">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D.肺部感染　　</w:t>
      </w:r>
    </w:p>
    <w:p w14:paraId="798656C4">
      <w:pPr>
        <w:widowControl/>
        <w:adjustRightInd w:val="0"/>
        <w:snapToGrid w:val="0"/>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E.各种原因引起的肥大细胞脱颗粒造成过敏介质释放</w:t>
      </w:r>
    </w:p>
    <w:p w14:paraId="7E9D5498">
      <w:pPr>
        <w:pStyle w:val="6"/>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z w:val="21"/>
          <w:szCs w:val="21"/>
          <w:highlight w:val="none"/>
          <w:lang w:val="en-US" w:eastAsia="zh-CN"/>
        </w:rPr>
      </w:pPr>
      <w:r>
        <w:rPr>
          <w:rStyle w:val="9"/>
          <w:rFonts w:hint="eastAsia" w:ascii="宋体" w:hAnsi="宋体" w:eastAsia="宋体" w:cs="宋体"/>
          <w:b w:val="0"/>
          <w:bCs w:val="0"/>
          <w:color w:val="auto"/>
          <w:sz w:val="21"/>
          <w:szCs w:val="21"/>
          <w:highlight w:val="none"/>
          <w:lang w:val="en-US" w:eastAsia="zh-CN"/>
        </w:rPr>
        <w:t>3</w:t>
      </w:r>
      <w:r>
        <w:rPr>
          <w:rStyle w:val="9"/>
          <w:rFonts w:hint="eastAsia" w:ascii="宋体" w:hAnsi="宋体" w:eastAsia="宋体" w:cs="宋体"/>
          <w:b w:val="0"/>
          <w:bCs w:val="0"/>
          <w:color w:val="auto"/>
          <w:sz w:val="21"/>
          <w:szCs w:val="21"/>
          <w:highlight w:val="none"/>
          <w:lang w:eastAsia="zh-CN"/>
        </w:rPr>
        <w:t>.</w:t>
      </w:r>
      <w:r>
        <w:rPr>
          <w:rStyle w:val="9"/>
          <w:rFonts w:hint="eastAsia" w:ascii="宋体" w:hAnsi="宋体" w:eastAsia="宋体" w:cs="宋体"/>
          <w:b w:val="0"/>
          <w:bCs w:val="0"/>
          <w:color w:val="auto"/>
          <w:sz w:val="21"/>
          <w:szCs w:val="21"/>
          <w:highlight w:val="none"/>
        </w:rPr>
        <w:t>下列关于口服阿仑膦酸钠使用注意事项的说法,</w:t>
      </w:r>
      <w:r>
        <w:rPr>
          <w:rStyle w:val="9"/>
          <w:rFonts w:hint="eastAsia" w:ascii="宋体" w:hAnsi="宋体" w:eastAsia="宋体" w:cs="宋体"/>
          <w:b w:val="0"/>
          <w:bCs w:val="0"/>
          <w:color w:val="auto"/>
          <w:sz w:val="21"/>
          <w:szCs w:val="21"/>
          <w:highlight w:val="none"/>
          <w:lang w:val="en-US" w:eastAsia="zh-CN"/>
        </w:rPr>
        <w:t>正确</w:t>
      </w:r>
      <w:r>
        <w:rPr>
          <w:rStyle w:val="9"/>
          <w:rFonts w:hint="eastAsia" w:ascii="宋体" w:hAnsi="宋体" w:eastAsia="宋体" w:cs="宋体"/>
          <w:b w:val="0"/>
          <w:bCs w:val="0"/>
          <w:color w:val="auto"/>
          <w:sz w:val="21"/>
          <w:szCs w:val="21"/>
          <w:highlight w:val="none"/>
        </w:rPr>
        <w:t>的是</w:t>
      </w:r>
    </w:p>
    <w:p w14:paraId="7761875C">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口服后30分钟内应保持立位或坐 </w:t>
      </w:r>
    </w:p>
    <w:p w14:paraId="60F2CCEF">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应避免同时使用两种双膦酸盐 </w:t>
      </w:r>
    </w:p>
    <w:p w14:paraId="79F3715B">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随餐服用</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并大量饮水,可增加吸收</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减少胃肠道刺激 </w:t>
      </w:r>
    </w:p>
    <w:p w14:paraId="37C79726">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食管炎为典型不良反应 </w:t>
      </w:r>
    </w:p>
    <w:p w14:paraId="4C68E0C1">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已批准用于提早绝经女性骨质疏松的防治 </w:t>
      </w:r>
    </w:p>
    <w:p w14:paraId="62422734">
      <w:pPr>
        <w:pStyle w:val="6"/>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z w:val="21"/>
          <w:szCs w:val="21"/>
          <w:highlight w:val="none"/>
          <w:lang w:val="en-US" w:eastAsia="zh-CN"/>
        </w:rPr>
      </w:pPr>
      <w:r>
        <w:rPr>
          <w:rStyle w:val="9"/>
          <w:rFonts w:hint="eastAsia" w:ascii="宋体" w:hAnsi="宋体" w:eastAsia="宋体" w:cs="宋体"/>
          <w:b w:val="0"/>
          <w:bCs w:val="0"/>
          <w:color w:val="auto"/>
          <w:sz w:val="21"/>
          <w:szCs w:val="21"/>
          <w:highlight w:val="none"/>
          <w:lang w:val="en-US" w:eastAsia="zh-CN"/>
        </w:rPr>
        <w:t>4</w:t>
      </w:r>
      <w:r>
        <w:rPr>
          <w:rStyle w:val="9"/>
          <w:rFonts w:hint="eastAsia" w:ascii="宋体" w:hAnsi="宋体" w:eastAsia="宋体" w:cs="宋体"/>
          <w:b w:val="0"/>
          <w:bCs w:val="0"/>
          <w:color w:val="auto"/>
          <w:sz w:val="21"/>
          <w:szCs w:val="21"/>
          <w:highlight w:val="none"/>
          <w:lang w:eastAsia="zh-CN"/>
        </w:rPr>
        <w:t>.</w:t>
      </w:r>
      <w:r>
        <w:rPr>
          <w:rStyle w:val="9"/>
          <w:rFonts w:hint="eastAsia" w:ascii="宋体" w:hAnsi="宋体" w:eastAsia="宋体" w:cs="宋体"/>
          <w:b w:val="0"/>
          <w:bCs w:val="0"/>
          <w:color w:val="auto"/>
          <w:sz w:val="21"/>
          <w:szCs w:val="21"/>
          <w:highlight w:val="none"/>
        </w:rPr>
        <w:t>应告知患者服药后大量喝水的药物有</w:t>
      </w:r>
    </w:p>
    <w:p w14:paraId="02969A2B">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复方磺胺甲恶唑片 </w:t>
      </w:r>
    </w:p>
    <w:p w14:paraId="21868601">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复方甘草片 </w:t>
      </w:r>
    </w:p>
    <w:p w14:paraId="4CBFA949">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硝酸异山梨酯片 </w:t>
      </w:r>
    </w:p>
    <w:p w14:paraId="0F3050F6">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磷酸铝凝胶 </w:t>
      </w:r>
    </w:p>
    <w:p w14:paraId="59EF9E7F">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阿昔洛韦片 </w:t>
      </w:r>
      <w:r>
        <w:rPr>
          <w:rFonts w:hint="eastAsia" w:ascii="宋体" w:hAnsi="宋体" w:eastAsia="宋体" w:cs="宋体"/>
          <w:b w:val="0"/>
          <w:bCs w:val="0"/>
          <w:color w:val="auto"/>
          <w:sz w:val="21"/>
          <w:szCs w:val="21"/>
          <w:highlight w:val="none"/>
        </w:rPr>
        <w:br w:type="textWrapping"/>
      </w:r>
      <w:r>
        <w:rPr>
          <w:rStyle w:val="9"/>
          <w:rFonts w:hint="eastAsia" w:ascii="宋体" w:hAnsi="宋体" w:eastAsia="宋体" w:cs="宋体"/>
          <w:b w:val="0"/>
          <w:bCs w:val="0"/>
          <w:color w:val="auto"/>
          <w:sz w:val="21"/>
          <w:szCs w:val="21"/>
          <w:highlight w:val="none"/>
          <w:lang w:val="en-US" w:eastAsia="zh-CN"/>
        </w:rPr>
        <w:t>5</w:t>
      </w:r>
      <w:r>
        <w:rPr>
          <w:rStyle w:val="9"/>
          <w:rFonts w:hint="eastAsia" w:ascii="宋体" w:hAnsi="宋体" w:eastAsia="宋体" w:cs="宋体"/>
          <w:b w:val="0"/>
          <w:bCs w:val="0"/>
          <w:color w:val="auto"/>
          <w:sz w:val="21"/>
          <w:szCs w:val="21"/>
          <w:highlight w:val="none"/>
          <w:lang w:eastAsia="zh-CN"/>
        </w:rPr>
        <w:t>.</w:t>
      </w:r>
      <w:r>
        <w:rPr>
          <w:rStyle w:val="9"/>
          <w:rFonts w:hint="eastAsia" w:ascii="宋体" w:hAnsi="宋体" w:eastAsia="宋体" w:cs="宋体"/>
          <w:b w:val="0"/>
          <w:bCs w:val="0"/>
          <w:color w:val="auto"/>
          <w:sz w:val="21"/>
          <w:szCs w:val="21"/>
          <w:highlight w:val="none"/>
        </w:rPr>
        <w:t>属于一级信息源的是</w:t>
      </w:r>
    </w:p>
    <w:p w14:paraId="36C6C9EC">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《中国药学杂志》</w:t>
      </w:r>
    </w:p>
    <w:p w14:paraId="4640820C">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《中国药房》</w:t>
      </w:r>
    </w:p>
    <w:p w14:paraId="1718AC1B">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《中国药典》</w:t>
      </w:r>
    </w:p>
    <w:p w14:paraId="71823A58">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《化学文摘》 </w:t>
      </w:r>
    </w:p>
    <w:p w14:paraId="615964EF">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《马丁代尔药物大典》</w:t>
      </w:r>
    </w:p>
    <w:p w14:paraId="1C53408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rPr>
        <w:t>.影响药物制剂稳定性的处方因素包括</w:t>
      </w:r>
    </w:p>
    <w:p w14:paraId="43040FF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rPr>
        <w:t>pH </w:t>
      </w:r>
    </w:p>
    <w:p w14:paraId="3460A67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广义酸碱催化 </w:t>
      </w:r>
    </w:p>
    <w:p w14:paraId="2C9E71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光线 </w:t>
      </w:r>
    </w:p>
    <w:p w14:paraId="6AF404E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溶剂 </w:t>
      </w:r>
    </w:p>
    <w:p w14:paraId="01806BF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离子强度</w:t>
      </w:r>
    </w:p>
    <w:p w14:paraId="534B1BD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lang w:eastAsia="zh-CN"/>
        </w:rPr>
        <w:t>.下列辅料中，属于抗氧剂的有</w:t>
      </w:r>
    </w:p>
    <w:p w14:paraId="393A52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A.焦亚硫酸钠 </w:t>
      </w:r>
    </w:p>
    <w:p w14:paraId="19F6282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B.硫代硫酸钠 </w:t>
      </w:r>
    </w:p>
    <w:p w14:paraId="28A5C42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C.依地酸二钠 </w:t>
      </w:r>
    </w:p>
    <w:p w14:paraId="67E4B76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D.氨基酸 </w:t>
      </w:r>
    </w:p>
    <w:p w14:paraId="73FB143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E.亚硫酸氢钠 </w:t>
      </w:r>
    </w:p>
    <w:p w14:paraId="46B4C02C">
      <w:pPr>
        <w:pStyle w:val="13"/>
        <w:keepNext w:val="0"/>
        <w:keepLines w:val="0"/>
        <w:pageBreakBefore w:val="0"/>
        <w:widowControl/>
        <w:suppressLineNumbers w:val="0"/>
        <w:kinsoku/>
        <w:wordWrap/>
        <w:overflowPunct/>
        <w:topLinePunct w:val="0"/>
        <w:autoSpaceDN/>
        <w:bidi w:val="0"/>
        <w:adjustRightInd/>
        <w:snapToGrid/>
        <w:spacing w:before="0" w:beforeAutospacing="0" w:afterAutospacing="0" w:line="360" w:lineRule="auto"/>
        <w:ind w:left="0" w:right="0"/>
        <w:textAlignment w:val="auto"/>
        <w:rPr>
          <w:rFonts w:hint="eastAsia" w:ascii="宋体" w:hAnsi="宋体" w:eastAsia="宋体" w:cs="宋体"/>
          <w:b w:val="0"/>
          <w:bCs w:val="0"/>
          <w:color w:val="auto"/>
          <w:sz w:val="21"/>
          <w:szCs w:val="21"/>
          <w:highlight w:val="none"/>
        </w:rPr>
      </w:pPr>
      <w:r>
        <w:rPr>
          <w:rStyle w:val="9"/>
          <w:rFonts w:hint="eastAsia" w:ascii="宋体" w:hAnsi="宋体" w:eastAsia="宋体" w:cs="宋体"/>
          <w:b w:val="0"/>
          <w:bCs w:val="0"/>
          <w:color w:val="auto"/>
          <w:sz w:val="21"/>
          <w:szCs w:val="21"/>
          <w:highlight w:val="none"/>
          <w:lang w:val="en-US" w:eastAsia="zh-CN"/>
        </w:rPr>
        <w:t>8</w:t>
      </w:r>
      <w:r>
        <w:rPr>
          <w:rStyle w:val="9"/>
          <w:rFonts w:hint="eastAsia" w:ascii="宋体" w:hAnsi="宋体" w:eastAsia="宋体" w:cs="宋体"/>
          <w:b w:val="0"/>
          <w:bCs w:val="0"/>
          <w:color w:val="auto"/>
          <w:sz w:val="21"/>
          <w:szCs w:val="21"/>
          <w:highlight w:val="none"/>
          <w:lang w:eastAsia="zh-CN"/>
        </w:rPr>
        <w:t>.</w:t>
      </w:r>
      <w:r>
        <w:rPr>
          <w:rStyle w:val="9"/>
          <w:rFonts w:hint="eastAsia" w:ascii="宋体" w:hAnsi="宋体" w:eastAsia="宋体" w:cs="宋体"/>
          <w:b w:val="0"/>
          <w:bCs w:val="0"/>
          <w:color w:val="auto"/>
          <w:sz w:val="21"/>
          <w:szCs w:val="21"/>
          <w:highlight w:val="none"/>
        </w:rPr>
        <w:t xml:space="preserve">乳儿禁用的药物包括下列哪种药物 </w:t>
      </w:r>
    </w:p>
    <w:p w14:paraId="04C9574B">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卡那霉素 </w:t>
      </w:r>
    </w:p>
    <w:p w14:paraId="35EEF011">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B</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水杨酸钠 </w:t>
      </w:r>
    </w:p>
    <w:p w14:paraId="1BB95940">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C</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氯霉素 </w:t>
      </w:r>
    </w:p>
    <w:p w14:paraId="4362DF1B">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D</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吲哚美辛 </w:t>
      </w:r>
    </w:p>
    <w:p w14:paraId="5B3AD929">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E</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青霉素 </w:t>
      </w:r>
    </w:p>
    <w:p w14:paraId="296B4A3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lang w:eastAsia="zh-CN"/>
        </w:rPr>
        <w:t xml:space="preserve">.药典溶液后标记的“1→10”符号系指                                </w:t>
      </w:r>
    </w:p>
    <w:p w14:paraId="3E5CB2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A.固体溶质1.0g加溶剂10ml的溶液</w:t>
      </w:r>
    </w:p>
    <w:p w14:paraId="605F84D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B.液体溶质1.0ml加溶剂10ml的溶液</w:t>
      </w:r>
    </w:p>
    <w:p w14:paraId="1C4B5D3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C.固体溶质1.0g加溶剂使成10ml的溶液</w:t>
      </w:r>
    </w:p>
    <w:p w14:paraId="07A23C1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D.液体溶质1.0ml加溶剂使成10ml的溶液</w:t>
      </w:r>
    </w:p>
    <w:p w14:paraId="7A69945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E.固体溶质1.0g加水（未指明何种溶剂时）10ml的溶液</w:t>
      </w:r>
    </w:p>
    <w:p w14:paraId="0574CA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lang w:eastAsia="zh-CN"/>
        </w:rPr>
        <w:t>经省级以上药品监督管理部门批准，在规定时限内，医疗机构配制的制剂可以在制定的医疗机构之间调剂使用的情形有</w:t>
      </w:r>
    </w:p>
    <w:p w14:paraId="1DC988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A.发生灾情时 </w:t>
      </w:r>
    </w:p>
    <w:p w14:paraId="15ABE9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B.发生疫情时 </w:t>
      </w:r>
    </w:p>
    <w:p w14:paraId="38A17BC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C.发生突发事件时 </w:t>
      </w:r>
    </w:p>
    <w:p w14:paraId="3A7CB60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D.市场短缺时 </w:t>
      </w:r>
    </w:p>
    <w:p w14:paraId="6350897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E.临床急需而市场没有供应时 </w:t>
      </w:r>
    </w:p>
    <w:p w14:paraId="518224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sz w:val="21"/>
          <w:szCs w:val="21"/>
          <w:highlight w:val="none"/>
          <w:lang w:val="en-US" w:eastAsia="zh-CN"/>
        </w:rPr>
      </w:pPr>
    </w:p>
    <w:p w14:paraId="1B7593D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1"/>
          <w:szCs w:val="21"/>
          <w:highlight w:val="none"/>
          <w:lang w:val="en-US" w:eastAsia="zh-CN"/>
        </w:rPr>
      </w:pPr>
    </w:p>
    <w:p w14:paraId="60FB53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3.下列哪些是糖皮质激素类药物临床应用</w:t>
      </w:r>
    </w:p>
    <w:p w14:paraId="059751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A.肾上腺皮质功能减退症 </w:t>
      </w:r>
    </w:p>
    <w:p w14:paraId="4196B5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B.中毒性菌痢，爆发性流行性脑膜炎 </w:t>
      </w:r>
    </w:p>
    <w:p w14:paraId="04035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C.风湿性心瓣膜炎 </w:t>
      </w:r>
    </w:p>
    <w:p w14:paraId="0F6B96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D.肾病综合症 </w:t>
      </w:r>
    </w:p>
    <w:p w14:paraId="19D8CA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E.重症支气管哮喘 </w:t>
      </w:r>
    </w:p>
    <w:p w14:paraId="56879385">
      <w:pPr>
        <w:spacing w:line="360" w:lineRule="auto"/>
        <w:rPr>
          <w:rFonts w:hint="eastAsia" w:ascii="宋体" w:hAnsi="宋体" w:eastAsia="宋体" w:cs="宋体"/>
          <w:b w:val="0"/>
          <w:bCs w:val="0"/>
          <w:color w:val="auto"/>
          <w:sz w:val="21"/>
          <w:szCs w:val="21"/>
          <w:highlight w:val="none"/>
        </w:rPr>
      </w:pPr>
    </w:p>
    <w:p w14:paraId="4930BE8B">
      <w:pPr>
        <w:spacing w:line="360" w:lineRule="auto"/>
        <w:rPr>
          <w:rFonts w:hint="eastAsia" w:ascii="宋体" w:hAnsi="宋体" w:eastAsia="宋体" w:cs="宋体"/>
          <w:b w:val="0"/>
          <w:bCs w:val="0"/>
          <w:color w:val="auto"/>
          <w:sz w:val="21"/>
          <w:szCs w:val="21"/>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D715B"/>
    <w:rsid w:val="000A3F59"/>
    <w:rsid w:val="00206C27"/>
    <w:rsid w:val="002D715B"/>
    <w:rsid w:val="00695A9D"/>
    <w:rsid w:val="00823DF8"/>
    <w:rsid w:val="00A01D14"/>
    <w:rsid w:val="00A12741"/>
    <w:rsid w:val="00B325C5"/>
    <w:rsid w:val="0C9D753E"/>
    <w:rsid w:val="11170399"/>
    <w:rsid w:val="13E26EA1"/>
    <w:rsid w:val="1A825C8E"/>
    <w:rsid w:val="1AB85EB4"/>
    <w:rsid w:val="251D3237"/>
    <w:rsid w:val="26327F23"/>
    <w:rsid w:val="274A6DDF"/>
    <w:rsid w:val="2ADA6C70"/>
    <w:rsid w:val="2FF36D4F"/>
    <w:rsid w:val="329F6EAF"/>
    <w:rsid w:val="34F07738"/>
    <w:rsid w:val="36F93E8A"/>
    <w:rsid w:val="37392E3A"/>
    <w:rsid w:val="3AA23A94"/>
    <w:rsid w:val="3B96320C"/>
    <w:rsid w:val="3D1B32A0"/>
    <w:rsid w:val="415915EC"/>
    <w:rsid w:val="45700CC2"/>
    <w:rsid w:val="46B67B95"/>
    <w:rsid w:val="48156B9E"/>
    <w:rsid w:val="48BD2096"/>
    <w:rsid w:val="497706F8"/>
    <w:rsid w:val="4D896A9F"/>
    <w:rsid w:val="4ED2498C"/>
    <w:rsid w:val="599A148B"/>
    <w:rsid w:val="62A3326C"/>
    <w:rsid w:val="63E927D5"/>
    <w:rsid w:val="654B35FB"/>
    <w:rsid w:val="6A3771F7"/>
    <w:rsid w:val="6E3C17EF"/>
    <w:rsid w:val="715F212F"/>
    <w:rsid w:val="71D1732D"/>
    <w:rsid w:val="74B75522"/>
    <w:rsid w:val="7F852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黑体" w:hAnsi="黑体" w:eastAsia="黑体" w:cs="黑体"/>
      <w:sz w:val="21"/>
      <w:szCs w:val="21"/>
      <w:lang w:val="en-US" w:eastAsia="en-US" w:bidi="ar-SA"/>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szCs w:val="24"/>
      <w:lang w:val="en-US" w:eastAsia="zh-CN" w:bidi="ar"/>
    </w:rPr>
  </w:style>
  <w:style w:type="character" w:styleId="9">
    <w:name w:val="Strong"/>
    <w:basedOn w:val="8"/>
    <w:qFormat/>
    <w:uiPriority w:val="0"/>
    <w:rPr>
      <w:b/>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mrt20"/>
    <w:basedOn w:val="1"/>
    <w:qFormat/>
    <w:uiPriority w:val="0"/>
    <w:pPr>
      <w:spacing w:before="300" w:beforeAutospacing="0"/>
      <w:jc w:val="left"/>
    </w:pPr>
    <w:rPr>
      <w:kern w:val="0"/>
      <w:lang w:val="en-US" w:eastAsia="zh-CN" w:bidi="ar"/>
    </w:rPr>
  </w:style>
  <w:style w:type="character" w:customStyle="1" w:styleId="14">
    <w:name w:val="15"/>
    <w:basedOn w:val="8"/>
    <w:qFormat/>
    <w:uiPriority w:val="0"/>
    <w:rPr>
      <w:rFonts w:hint="default" w:ascii="Times New Roman" w:hAnsi="Times New Roman" w:cs="Times New Roman"/>
      <w:b/>
    </w:rPr>
  </w:style>
  <w:style w:type="paragraph" w:customStyle="1" w:styleId="15">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5230</Words>
  <Characters>6250</Characters>
  <Lines>13</Lines>
  <Paragraphs>3</Paragraphs>
  <TotalTime>2</TotalTime>
  <ScaleCrop>false</ScaleCrop>
  <LinksUpToDate>false</LinksUpToDate>
  <CharactersWithSpaces>7518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2023-04-13T06:28:00Z</dcterms:created>
  <dc:creator>Windows 用户</dc:creator>
  <cp:lastModifiedBy>王瑞昙</cp:lastModifiedBy>
  <dcterms:modified xsi:type="dcterms:W3CDTF">2025-11-27T09:12:26Z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4CAE7A9183D74B6BAF3FAFE8CDFA9CF7_12</vt:lpwstr>
  </property>
  <property fmtid="{D5CDD505-2E9C-101B-9397-08002B2CF9AE}" pid="4" name="KSOTemplateDocerSaveRecord">
    <vt:lpwstr>eyJoZGlkIjoiNGNkYmMwNzIyNDFmMjQyZTdjZjQ2NGEyZDhjZDYwMDgiLCJ1c2VySWQiOiI1NjAzOTE4NzYifQ==</vt:lpwstr>
  </property>
</Properties>
</file>